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2088602825"/>
        <w:docPartObj>
          <w:docPartGallery w:val="Cover Pages"/>
          <w:docPartUnique/>
        </w:docPartObj>
      </w:sdtPr>
      <w:sdtEndPr>
        <w:rPr>
          <w:color w:val="auto"/>
        </w:rPr>
      </w:sdtEndPr>
      <w:sdtContent>
        <w:p w14:paraId="24A98992" w14:textId="41926C7A" w:rsidR="000F7700" w:rsidRDefault="0089021E" w:rsidP="0089021E">
          <w:pPr>
            <w:pStyle w:val="Ingenmellomrom"/>
            <w:spacing w:before="1540" w:after="240"/>
            <w:jc w:val="center"/>
            <w:rPr>
              <w:color w:val="4472C4" w:themeColor="accent1"/>
            </w:rPr>
          </w:pPr>
          <w:r w:rsidRPr="0089021E">
            <w:rPr>
              <w:noProof/>
              <w:color w:val="4472C4" w:themeColor="accent1"/>
            </w:rPr>
            <w:drawing>
              <wp:anchor distT="0" distB="0" distL="114300" distR="114300" simplePos="0" relativeHeight="251664384" behindDoc="1" locked="0" layoutInCell="1" allowOverlap="1" wp14:anchorId="512260BF" wp14:editId="0739640A">
                <wp:simplePos x="0" y="0"/>
                <wp:positionH relativeFrom="margin">
                  <wp:align>center</wp:align>
                </wp:positionH>
                <wp:positionV relativeFrom="paragraph">
                  <wp:posOffset>255270</wp:posOffset>
                </wp:positionV>
                <wp:extent cx="1645920" cy="877570"/>
                <wp:effectExtent l="0" t="0" r="0" b="0"/>
                <wp:wrapTight wrapText="bothSides">
                  <wp:wrapPolygon edited="0">
                    <wp:start x="0" y="0"/>
                    <wp:lineTo x="0" y="21100"/>
                    <wp:lineTo x="21250" y="21100"/>
                    <wp:lineTo x="21250"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0" cy="877570"/>
                        </a:xfrm>
                        <a:prstGeom prst="rect">
                          <a:avLst/>
                        </a:prstGeom>
                      </pic:spPr>
                    </pic:pic>
                  </a:graphicData>
                </a:graphic>
              </wp:anchor>
            </w:drawing>
          </w:r>
        </w:p>
        <w:bookmarkStart w:id="0" w:name="_Hlk64711160" w:displacedByCustomXml="next"/>
        <w:sdt>
          <w:sdtPr>
            <w:rPr>
              <w:rFonts w:asciiTheme="majorHAnsi" w:eastAsiaTheme="majorEastAsia" w:hAnsiTheme="majorHAnsi" w:cstheme="majorBidi"/>
              <w:caps/>
              <w:color w:val="4472C4" w:themeColor="accent1"/>
              <w:sz w:val="70"/>
              <w:szCs w:val="70"/>
            </w:rPr>
            <w:alias w:val="Tittel"/>
            <w:tag w:val=""/>
            <w:id w:val="1735040861"/>
            <w:placeholder>
              <w:docPart w:val="20243872B30C43E7947E192216A62589"/>
            </w:placeholder>
            <w:dataBinding w:prefixMappings="xmlns:ns0='http://purl.org/dc/elements/1.1/' xmlns:ns1='http://schemas.openxmlformats.org/package/2006/metadata/core-properties' " w:xpath="/ns1:coreProperties[1]/ns0:title[1]" w:storeItemID="{6C3C8BC8-F283-45AE-878A-BAB7291924A1}"/>
            <w:text/>
          </w:sdtPr>
          <w:sdtEndPr/>
          <w:sdtContent>
            <w:p w14:paraId="70CFDD44" w14:textId="5B78E51C" w:rsidR="00621942" w:rsidRPr="004C7FFE" w:rsidRDefault="00DE504D" w:rsidP="00AF6CED">
              <w:pPr>
                <w:pStyle w:val="Ingenmellomrom"/>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70"/>
                  <w:szCs w:val="70"/>
                </w:rPr>
              </w:pPr>
              <w:r>
                <w:rPr>
                  <w:rFonts w:asciiTheme="majorHAnsi" w:eastAsiaTheme="majorEastAsia" w:hAnsiTheme="majorHAnsi" w:cstheme="majorBidi"/>
                  <w:caps/>
                  <w:color w:val="4472C4" w:themeColor="accent1"/>
                  <w:sz w:val="70"/>
                  <w:szCs w:val="70"/>
                </w:rPr>
                <w:t>D</w:t>
              </w:r>
              <w:r w:rsidR="00841157" w:rsidRPr="00841157">
                <w:rPr>
                  <w:rFonts w:asciiTheme="majorHAnsi" w:eastAsiaTheme="majorEastAsia" w:hAnsiTheme="majorHAnsi" w:cstheme="majorBidi"/>
                  <w:caps/>
                  <w:color w:val="4472C4" w:themeColor="accent1"/>
                  <w:sz w:val="70"/>
                  <w:szCs w:val="70"/>
                </w:rPr>
                <w:t xml:space="preserve">iet in </w:t>
              </w:r>
              <w:r>
                <w:rPr>
                  <w:rFonts w:asciiTheme="majorHAnsi" w:eastAsiaTheme="majorEastAsia" w:hAnsiTheme="majorHAnsi" w:cstheme="majorBidi"/>
                  <w:caps/>
                  <w:color w:val="4472C4" w:themeColor="accent1"/>
                  <w:sz w:val="70"/>
                  <w:szCs w:val="70"/>
                </w:rPr>
                <w:t>C</w:t>
              </w:r>
              <w:r w:rsidR="00841157" w:rsidRPr="00841157">
                <w:rPr>
                  <w:rFonts w:asciiTheme="majorHAnsi" w:eastAsiaTheme="majorEastAsia" w:hAnsiTheme="majorHAnsi" w:cstheme="majorBidi"/>
                  <w:caps/>
                  <w:color w:val="4472C4" w:themeColor="accent1"/>
                  <w:sz w:val="70"/>
                  <w:szCs w:val="70"/>
                </w:rPr>
                <w:t xml:space="preserve">rohn disease – The effect of </w:t>
              </w:r>
              <w:r w:rsidR="00806F11">
                <w:rPr>
                  <w:rFonts w:asciiTheme="majorHAnsi" w:eastAsiaTheme="majorEastAsia" w:hAnsiTheme="majorHAnsi" w:cstheme="majorBidi"/>
                  <w:caps/>
                  <w:color w:val="4472C4" w:themeColor="accent1"/>
                  <w:sz w:val="70"/>
                  <w:szCs w:val="70"/>
                </w:rPr>
                <w:t>d</w:t>
              </w:r>
              <w:r w:rsidR="00841157" w:rsidRPr="00841157">
                <w:rPr>
                  <w:rFonts w:asciiTheme="majorHAnsi" w:eastAsiaTheme="majorEastAsia" w:hAnsiTheme="majorHAnsi" w:cstheme="majorBidi"/>
                  <w:caps/>
                  <w:color w:val="4472C4" w:themeColor="accent1"/>
                  <w:sz w:val="70"/>
                  <w:szCs w:val="70"/>
                </w:rPr>
                <w:t xml:space="preserve">iet </w:t>
              </w:r>
              <w:r w:rsidR="00806F11">
                <w:rPr>
                  <w:rFonts w:asciiTheme="majorHAnsi" w:eastAsiaTheme="majorEastAsia" w:hAnsiTheme="majorHAnsi" w:cstheme="majorBidi"/>
                  <w:caps/>
                  <w:color w:val="4472C4" w:themeColor="accent1"/>
                  <w:sz w:val="70"/>
                  <w:szCs w:val="70"/>
                </w:rPr>
                <w:t>o</w:t>
              </w:r>
              <w:r w:rsidR="00841157" w:rsidRPr="00841157">
                <w:rPr>
                  <w:rFonts w:asciiTheme="majorHAnsi" w:eastAsiaTheme="majorEastAsia" w:hAnsiTheme="majorHAnsi" w:cstheme="majorBidi"/>
                  <w:caps/>
                  <w:color w:val="4472C4" w:themeColor="accent1"/>
                  <w:sz w:val="70"/>
                  <w:szCs w:val="70"/>
                </w:rPr>
                <w:t xml:space="preserve">n the microbiome and its role </w:t>
              </w:r>
              <w:r w:rsidR="00BA7518">
                <w:rPr>
                  <w:rFonts w:asciiTheme="majorHAnsi" w:eastAsiaTheme="majorEastAsia" w:hAnsiTheme="majorHAnsi" w:cstheme="majorBidi"/>
                  <w:caps/>
                  <w:color w:val="4472C4" w:themeColor="accent1"/>
                  <w:sz w:val="70"/>
                  <w:szCs w:val="70"/>
                </w:rPr>
                <w:t xml:space="preserve">as </w:t>
              </w:r>
              <w:r w:rsidR="001A10A3">
                <w:rPr>
                  <w:rFonts w:asciiTheme="majorHAnsi" w:eastAsiaTheme="majorEastAsia" w:hAnsiTheme="majorHAnsi" w:cstheme="majorBidi"/>
                  <w:caps/>
                  <w:color w:val="4472C4" w:themeColor="accent1"/>
                  <w:sz w:val="70"/>
                  <w:szCs w:val="70"/>
                </w:rPr>
                <w:t xml:space="preserve">a </w:t>
              </w:r>
              <w:r w:rsidR="00BA7518">
                <w:rPr>
                  <w:rFonts w:asciiTheme="majorHAnsi" w:eastAsiaTheme="majorEastAsia" w:hAnsiTheme="majorHAnsi" w:cstheme="majorBidi"/>
                  <w:caps/>
                  <w:color w:val="4472C4" w:themeColor="accent1"/>
                  <w:sz w:val="70"/>
                  <w:szCs w:val="70"/>
                </w:rPr>
                <w:t>ther</w:t>
              </w:r>
              <w:r w:rsidR="001A10A3">
                <w:rPr>
                  <w:rFonts w:asciiTheme="majorHAnsi" w:eastAsiaTheme="majorEastAsia" w:hAnsiTheme="majorHAnsi" w:cstheme="majorBidi"/>
                  <w:caps/>
                  <w:color w:val="4472C4" w:themeColor="accent1"/>
                  <w:sz w:val="70"/>
                  <w:szCs w:val="70"/>
                </w:rPr>
                <w:t xml:space="preserve">apeutic </w:t>
              </w:r>
              <w:r w:rsidR="00CF37F0">
                <w:rPr>
                  <w:rFonts w:asciiTheme="majorHAnsi" w:eastAsiaTheme="majorEastAsia" w:hAnsiTheme="majorHAnsi" w:cstheme="majorBidi"/>
                  <w:caps/>
                  <w:color w:val="4472C4" w:themeColor="accent1"/>
                  <w:sz w:val="70"/>
                  <w:szCs w:val="70"/>
                </w:rPr>
                <w:t>modality</w:t>
              </w:r>
            </w:p>
          </w:sdtContent>
        </w:sdt>
        <w:bookmarkEnd w:id="0" w:displacedByCustomXml="next"/>
        <w:sdt>
          <w:sdtPr>
            <w:rPr>
              <w:color w:val="4472C4" w:themeColor="accent1"/>
              <w:sz w:val="28"/>
              <w:szCs w:val="28"/>
            </w:rPr>
            <w:alias w:val="Undertittel"/>
            <w:tag w:val=""/>
            <w:id w:val="328029620"/>
            <w:placeholder>
              <w:docPart w:val="95FBD731E5684D5982815594BD69EB0B"/>
            </w:placeholder>
            <w:dataBinding w:prefixMappings="xmlns:ns0='http://purl.org/dc/elements/1.1/' xmlns:ns1='http://schemas.openxmlformats.org/package/2006/metadata/core-properties' " w:xpath="/ns1:coreProperties[1]/ns0:subject[1]" w:storeItemID="{6C3C8BC8-F283-45AE-878A-BAB7291924A1}"/>
            <w:text/>
          </w:sdtPr>
          <w:sdtEndPr/>
          <w:sdtContent>
            <w:p w14:paraId="71686346" w14:textId="597277ED" w:rsidR="00621942" w:rsidRDefault="00621942" w:rsidP="00AF6CED">
              <w:pPr>
                <w:pStyle w:val="Ingenmellomrom"/>
                <w:jc w:val="center"/>
                <w:rPr>
                  <w:color w:val="4472C4" w:themeColor="accent1"/>
                  <w:sz w:val="28"/>
                  <w:szCs w:val="28"/>
                </w:rPr>
              </w:pPr>
              <w:r>
                <w:rPr>
                  <w:color w:val="4472C4" w:themeColor="accent1"/>
                  <w:sz w:val="28"/>
                  <w:szCs w:val="28"/>
                </w:rPr>
                <w:t xml:space="preserve">Thesis of Nikolas </w:t>
              </w:r>
              <w:proofErr w:type="spellStart"/>
              <w:r>
                <w:rPr>
                  <w:color w:val="4472C4" w:themeColor="accent1"/>
                  <w:sz w:val="28"/>
                  <w:szCs w:val="28"/>
                </w:rPr>
                <w:t>Jostein</w:t>
              </w:r>
              <w:proofErr w:type="spellEnd"/>
              <w:r>
                <w:rPr>
                  <w:color w:val="4472C4" w:themeColor="accent1"/>
                  <w:sz w:val="28"/>
                  <w:szCs w:val="28"/>
                </w:rPr>
                <w:t xml:space="preserve"> </w:t>
              </w:r>
              <w:proofErr w:type="spellStart"/>
              <w:r>
                <w:rPr>
                  <w:color w:val="4472C4" w:themeColor="accent1"/>
                  <w:sz w:val="28"/>
                  <w:szCs w:val="28"/>
                </w:rPr>
                <w:t>Metirtikas</w:t>
              </w:r>
              <w:proofErr w:type="spellEnd"/>
              <w:r>
                <w:rPr>
                  <w:color w:val="4472C4" w:themeColor="accent1"/>
                  <w:sz w:val="28"/>
                  <w:szCs w:val="28"/>
                </w:rPr>
                <w:t xml:space="preserve"> Johnsgaard</w:t>
              </w:r>
            </w:p>
          </w:sdtContent>
        </w:sdt>
        <w:p w14:paraId="176F94AB" w14:textId="3EFA2B52" w:rsidR="00621942" w:rsidRPr="00FA010E" w:rsidRDefault="00621942" w:rsidP="00AF6CED">
          <w:pPr>
            <w:pStyle w:val="Ingenmellomrom"/>
            <w:jc w:val="center"/>
            <w:rPr>
              <w:color w:val="4472C4" w:themeColor="accent1"/>
              <w:sz w:val="24"/>
              <w:szCs w:val="24"/>
            </w:rPr>
          </w:pPr>
          <w:r w:rsidRPr="00FA010E">
            <w:rPr>
              <w:color w:val="4472C4" w:themeColor="accent1"/>
              <w:sz w:val="24"/>
              <w:szCs w:val="24"/>
            </w:rPr>
            <w:t>General Medicine 2015</w:t>
          </w:r>
        </w:p>
        <w:p w14:paraId="1E5CC03C" w14:textId="5EFDDAE9" w:rsidR="006D50BD" w:rsidRPr="00FA010E" w:rsidRDefault="006D50BD" w:rsidP="00AF6CED">
          <w:pPr>
            <w:pStyle w:val="Ingenmellomrom"/>
            <w:jc w:val="center"/>
            <w:rPr>
              <w:color w:val="4472C4" w:themeColor="accent1"/>
              <w:sz w:val="24"/>
              <w:szCs w:val="24"/>
            </w:rPr>
          </w:pPr>
          <w:r w:rsidRPr="00FA010E">
            <w:rPr>
              <w:color w:val="4472C4" w:themeColor="accent1"/>
              <w:sz w:val="24"/>
              <w:szCs w:val="24"/>
            </w:rPr>
            <w:t xml:space="preserve">University of </w:t>
          </w:r>
          <w:proofErr w:type="spellStart"/>
          <w:r w:rsidRPr="00FA010E">
            <w:rPr>
              <w:color w:val="4472C4" w:themeColor="accent1"/>
              <w:sz w:val="24"/>
              <w:szCs w:val="24"/>
            </w:rPr>
            <w:t>Pécs</w:t>
          </w:r>
          <w:proofErr w:type="spellEnd"/>
          <w:r w:rsidRPr="00FA010E">
            <w:rPr>
              <w:color w:val="4472C4" w:themeColor="accent1"/>
              <w:sz w:val="24"/>
              <w:szCs w:val="24"/>
            </w:rPr>
            <w:t xml:space="preserve"> Medical School</w:t>
          </w:r>
        </w:p>
        <w:p w14:paraId="1C1A129B" w14:textId="3E6B52F2" w:rsidR="006D50BD" w:rsidRPr="00FA010E" w:rsidRDefault="006D50BD" w:rsidP="00AF6CED">
          <w:pPr>
            <w:pStyle w:val="Ingenmellomrom"/>
            <w:jc w:val="center"/>
            <w:rPr>
              <w:color w:val="4472C4" w:themeColor="accent1"/>
              <w:sz w:val="24"/>
              <w:szCs w:val="24"/>
            </w:rPr>
          </w:pPr>
          <w:proofErr w:type="spellStart"/>
          <w:r w:rsidRPr="00FA010E">
            <w:rPr>
              <w:color w:val="4472C4" w:themeColor="accent1"/>
              <w:sz w:val="24"/>
              <w:szCs w:val="24"/>
            </w:rPr>
            <w:t>Neptun</w:t>
          </w:r>
          <w:proofErr w:type="spellEnd"/>
          <w:r w:rsidRPr="00FA010E">
            <w:rPr>
              <w:color w:val="4472C4" w:themeColor="accent1"/>
              <w:sz w:val="24"/>
              <w:szCs w:val="24"/>
            </w:rPr>
            <w:t xml:space="preserve"> username G8AY94</w:t>
          </w:r>
        </w:p>
        <w:p w14:paraId="3659EBA6" w14:textId="28B01707" w:rsidR="006D50BD" w:rsidRPr="00FA010E" w:rsidRDefault="006D58CE" w:rsidP="00AF6CED">
          <w:pPr>
            <w:pStyle w:val="Ingenmellomrom"/>
            <w:jc w:val="center"/>
            <w:rPr>
              <w:color w:val="4472C4" w:themeColor="accent1"/>
              <w:sz w:val="24"/>
              <w:szCs w:val="24"/>
            </w:rPr>
          </w:pPr>
          <w:r w:rsidRPr="00FA010E">
            <w:rPr>
              <w:color w:val="4472C4" w:themeColor="accent1"/>
              <w:sz w:val="24"/>
              <w:szCs w:val="24"/>
            </w:rPr>
            <w:t>My thanks to my s</w:t>
          </w:r>
          <w:r w:rsidR="006D50BD" w:rsidRPr="00FA010E">
            <w:rPr>
              <w:color w:val="4472C4" w:themeColor="accent1"/>
              <w:sz w:val="24"/>
              <w:szCs w:val="24"/>
            </w:rPr>
            <w:t xml:space="preserve">upervisor </w:t>
          </w:r>
          <w:proofErr w:type="spellStart"/>
          <w:r w:rsidR="006D50BD" w:rsidRPr="00FA010E">
            <w:rPr>
              <w:color w:val="4472C4" w:themeColor="accent1"/>
              <w:sz w:val="24"/>
              <w:szCs w:val="24"/>
            </w:rPr>
            <w:t>Áron</w:t>
          </w:r>
          <w:proofErr w:type="spellEnd"/>
          <w:r w:rsidR="006D50BD" w:rsidRPr="00FA010E">
            <w:rPr>
              <w:color w:val="4472C4" w:themeColor="accent1"/>
              <w:sz w:val="24"/>
              <w:szCs w:val="24"/>
            </w:rPr>
            <w:t xml:space="preserve"> </w:t>
          </w:r>
          <w:proofErr w:type="spellStart"/>
          <w:r w:rsidR="006D50BD" w:rsidRPr="00FA010E">
            <w:rPr>
              <w:color w:val="4472C4" w:themeColor="accent1"/>
              <w:sz w:val="24"/>
              <w:szCs w:val="24"/>
            </w:rPr>
            <w:t>Vincze</w:t>
          </w:r>
          <w:proofErr w:type="spellEnd"/>
          <w:r w:rsidR="006D50BD" w:rsidRPr="00FA010E">
            <w:rPr>
              <w:color w:val="4472C4" w:themeColor="accent1"/>
              <w:sz w:val="24"/>
              <w:szCs w:val="24"/>
            </w:rPr>
            <w:t xml:space="preserve">, </w:t>
          </w:r>
          <w:r w:rsidR="002420E4">
            <w:rPr>
              <w:color w:val="4472C4" w:themeColor="accent1"/>
              <w:sz w:val="24"/>
              <w:szCs w:val="24"/>
            </w:rPr>
            <w:t xml:space="preserve">MD., </w:t>
          </w:r>
          <w:r w:rsidR="006D50BD" w:rsidRPr="00FA010E">
            <w:rPr>
              <w:color w:val="4472C4" w:themeColor="accent1"/>
              <w:sz w:val="24"/>
              <w:szCs w:val="24"/>
            </w:rPr>
            <w:t>Ph. D</w:t>
          </w:r>
          <w:r w:rsidRPr="00FA010E">
            <w:rPr>
              <w:color w:val="4472C4" w:themeColor="accent1"/>
              <w:sz w:val="24"/>
              <w:szCs w:val="24"/>
            </w:rPr>
            <w:t xml:space="preserve">, </w:t>
          </w:r>
          <w:proofErr w:type="spellStart"/>
          <w:r w:rsidRPr="00FA010E">
            <w:rPr>
              <w:color w:val="4472C4" w:themeColor="accent1"/>
              <w:sz w:val="24"/>
              <w:szCs w:val="24"/>
            </w:rPr>
            <w:t>Dr.</w:t>
          </w:r>
          <w:proofErr w:type="spellEnd"/>
          <w:r w:rsidRPr="00FA010E">
            <w:rPr>
              <w:color w:val="4472C4" w:themeColor="accent1"/>
              <w:sz w:val="24"/>
              <w:szCs w:val="24"/>
            </w:rPr>
            <w:t xml:space="preserve"> </w:t>
          </w:r>
          <w:proofErr w:type="spellStart"/>
          <w:r w:rsidRPr="00FA010E">
            <w:rPr>
              <w:color w:val="4472C4" w:themeColor="accent1"/>
              <w:sz w:val="24"/>
              <w:szCs w:val="24"/>
            </w:rPr>
            <w:t>habil</w:t>
          </w:r>
          <w:proofErr w:type="spellEnd"/>
          <w:r w:rsidR="003B0B0E">
            <w:rPr>
              <w:color w:val="4472C4" w:themeColor="accent1"/>
              <w:sz w:val="24"/>
              <w:szCs w:val="24"/>
            </w:rPr>
            <w:t>, Head of Division of Gastroenterology</w:t>
          </w:r>
          <w:r w:rsidRPr="00FA010E">
            <w:rPr>
              <w:color w:val="4472C4" w:themeColor="accent1"/>
              <w:sz w:val="24"/>
              <w:szCs w:val="24"/>
            </w:rPr>
            <w:t>.</w:t>
          </w:r>
        </w:p>
        <w:p w14:paraId="5A735F11" w14:textId="34856A5A" w:rsidR="006C6F95" w:rsidRDefault="004C7FFE" w:rsidP="00AF6CED">
          <w:pPr>
            <w:pStyle w:val="Ingenmellomrom"/>
            <w:jc w:val="center"/>
            <w:rPr>
              <w:color w:val="4472C4" w:themeColor="accent1"/>
              <w:sz w:val="28"/>
              <w:szCs w:val="28"/>
            </w:rPr>
          </w:pPr>
          <w:r>
            <w:rPr>
              <w:noProof/>
              <w:color w:val="4472C4" w:themeColor="accent1"/>
              <w:sz w:val="28"/>
              <w:szCs w:val="28"/>
            </w:rPr>
            <w:drawing>
              <wp:anchor distT="0" distB="0" distL="114300" distR="114300" simplePos="0" relativeHeight="251660288" behindDoc="1" locked="0" layoutInCell="1" allowOverlap="1" wp14:anchorId="3D6365CC" wp14:editId="2D34000F">
                <wp:simplePos x="0" y="0"/>
                <wp:positionH relativeFrom="margin">
                  <wp:align>center</wp:align>
                </wp:positionH>
                <wp:positionV relativeFrom="paragraph">
                  <wp:posOffset>120659</wp:posOffset>
                </wp:positionV>
                <wp:extent cx="849086" cy="849086"/>
                <wp:effectExtent l="0" t="0" r="8255" b="8255"/>
                <wp:wrapTight wrapText="bothSides">
                  <wp:wrapPolygon edited="0">
                    <wp:start x="6301" y="0"/>
                    <wp:lineTo x="0" y="3877"/>
                    <wp:lineTo x="0" y="16963"/>
                    <wp:lineTo x="5331" y="21325"/>
                    <wp:lineTo x="6785" y="21325"/>
                    <wp:lineTo x="14540" y="21325"/>
                    <wp:lineTo x="15509" y="21325"/>
                    <wp:lineTo x="21325" y="16479"/>
                    <wp:lineTo x="21325" y="5816"/>
                    <wp:lineTo x="17933" y="1454"/>
                    <wp:lineTo x="14540" y="0"/>
                    <wp:lineTo x="6301"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9086" cy="849086"/>
                        </a:xfrm>
                        <a:prstGeom prst="rect">
                          <a:avLst/>
                        </a:prstGeom>
                      </pic:spPr>
                    </pic:pic>
                  </a:graphicData>
                </a:graphic>
              </wp:anchor>
            </w:drawing>
          </w:r>
        </w:p>
        <w:p w14:paraId="4CB57216" w14:textId="060183B2" w:rsidR="00621942" w:rsidRDefault="00621942" w:rsidP="00AF6CED">
          <w:pPr>
            <w:pStyle w:val="Ingenmellomrom"/>
            <w:spacing w:before="480"/>
            <w:jc w:val="center"/>
            <w:rPr>
              <w:color w:val="4472C4" w:themeColor="accent1"/>
            </w:rPr>
          </w:pPr>
        </w:p>
        <w:p w14:paraId="1238ACB4" w14:textId="0325E5FC" w:rsidR="006D58CE" w:rsidRPr="006D58CE" w:rsidRDefault="000F7700" w:rsidP="00704D76">
          <w:pPr>
            <w:jc w:val="both"/>
          </w:pPr>
          <w:r w:rsidRPr="000F7700">
            <w:rPr>
              <w:noProof/>
              <w:color w:val="4472C4" w:themeColor="accent1"/>
            </w:rPr>
            <mc:AlternateContent>
              <mc:Choice Requires="wps">
                <w:drawing>
                  <wp:anchor distT="45720" distB="45720" distL="114300" distR="114300" simplePos="0" relativeHeight="251663360" behindDoc="1" locked="0" layoutInCell="1" allowOverlap="1" wp14:anchorId="1A457ECF" wp14:editId="25609C67">
                    <wp:simplePos x="0" y="0"/>
                    <wp:positionH relativeFrom="margin">
                      <wp:align>center</wp:align>
                    </wp:positionH>
                    <wp:positionV relativeFrom="paragraph">
                      <wp:posOffset>1097591</wp:posOffset>
                    </wp:positionV>
                    <wp:extent cx="2721610" cy="294005"/>
                    <wp:effectExtent l="0" t="0" r="2540" b="0"/>
                    <wp:wrapTight wrapText="bothSides">
                      <wp:wrapPolygon edited="0">
                        <wp:start x="0" y="0"/>
                        <wp:lineTo x="0" y="19594"/>
                        <wp:lineTo x="21469" y="19594"/>
                        <wp:lineTo x="21469" y="0"/>
                        <wp:lineTo x="0"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294198"/>
                            </a:xfrm>
                            <a:prstGeom prst="rect">
                              <a:avLst/>
                            </a:prstGeom>
                            <a:solidFill>
                              <a:srgbClr val="FFFFFF"/>
                            </a:solidFill>
                            <a:ln w="9525">
                              <a:noFill/>
                              <a:miter lim="800000"/>
                              <a:headEnd/>
                              <a:tailEnd/>
                            </a:ln>
                          </wps:spPr>
                          <wps:txbx>
                            <w:txbxContent>
                              <w:p w14:paraId="08B15FE4" w14:textId="0327A4AA" w:rsidR="000F7700" w:rsidRPr="00DF1042" w:rsidRDefault="000F7700" w:rsidP="000F7700">
                                <w:pPr>
                                  <w:jc w:val="center"/>
                                  <w:rPr>
                                    <w:color w:val="4472C4" w:themeColor="accent1"/>
                                    <w:sz w:val="28"/>
                                    <w:szCs w:val="28"/>
                                  </w:rPr>
                                </w:pPr>
                                <w:r w:rsidRPr="00DF1042">
                                  <w:rPr>
                                    <w:color w:val="4472C4" w:themeColor="accent1"/>
                                    <w:sz w:val="28"/>
                                    <w:szCs w:val="28"/>
                                  </w:rPr>
                                  <w:t>January 1</w:t>
                                </w:r>
                                <w:r w:rsidR="00F76710">
                                  <w:rPr>
                                    <w:color w:val="4472C4" w:themeColor="accent1"/>
                                    <w:sz w:val="28"/>
                                    <w:szCs w:val="28"/>
                                  </w:rPr>
                                  <w:t>9</w:t>
                                </w:r>
                                <w:r w:rsidRPr="00DF1042">
                                  <w:rPr>
                                    <w:color w:val="4472C4" w:themeColor="accent1"/>
                                    <w:sz w:val="28"/>
                                    <w:szCs w:val="28"/>
                                  </w:rPr>
                                  <w:t>th</w:t>
                                </w:r>
                                <w:r w:rsidR="00197F1C" w:rsidRPr="00DF1042">
                                  <w:rPr>
                                    <w:color w:val="4472C4" w:themeColor="accent1"/>
                                    <w:sz w:val="28"/>
                                    <w:szCs w:val="28"/>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57ECF" id="_x0000_t202" coordsize="21600,21600" o:spt="202" path="m,l,21600r21600,l21600,xe">
                    <v:stroke joinstyle="miter"/>
                    <v:path gradientshapeok="t" o:connecttype="rect"/>
                  </v:shapetype>
                  <v:shape id="Tekstboks 2" o:spid="_x0000_s1026" type="#_x0000_t202" style="position:absolute;left:0;text-align:left;margin-left:0;margin-top:86.4pt;width:214.3pt;height:23.1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" stroked="f">
                    <v:textbox>
                      <w:txbxContent>
                        <w:p w14:paraId="08B15FE4" w14:textId="0327A4AA" w:rsidR="000F7700" w:rsidRPr="00DF1042" w:rsidRDefault="000F7700" w:rsidP="000F7700">
                          <w:pPr>
                            <w:jc w:val="center"/>
                            <w:rPr>
                              <w:color w:val="4472C4" w:themeColor="accent1"/>
                              <w:sz w:val="28"/>
                              <w:szCs w:val="28"/>
                            </w:rPr>
                          </w:pPr>
                          <w:r w:rsidRPr="00DF1042">
                            <w:rPr>
                              <w:color w:val="4472C4" w:themeColor="accent1"/>
                              <w:sz w:val="28"/>
                              <w:szCs w:val="28"/>
                            </w:rPr>
                            <w:t>January 1</w:t>
                          </w:r>
                          <w:r w:rsidR="00F76710">
                            <w:rPr>
                              <w:color w:val="4472C4" w:themeColor="accent1"/>
                              <w:sz w:val="28"/>
                              <w:szCs w:val="28"/>
                            </w:rPr>
                            <w:t>9</w:t>
                          </w:r>
                          <w:r w:rsidRPr="00DF1042">
                            <w:rPr>
                              <w:color w:val="4472C4" w:themeColor="accent1"/>
                              <w:sz w:val="28"/>
                              <w:szCs w:val="28"/>
                            </w:rPr>
                            <w:t>th</w:t>
                          </w:r>
                          <w:r w:rsidR="00197F1C" w:rsidRPr="00DF1042">
                            <w:rPr>
                              <w:color w:val="4472C4" w:themeColor="accent1"/>
                              <w:sz w:val="28"/>
                              <w:szCs w:val="28"/>
                            </w:rPr>
                            <w:t>, 2022</w:t>
                          </w:r>
                        </w:p>
                      </w:txbxContent>
                    </v:textbox>
                    <w10:wrap type="tight" anchorx="margin"/>
                  </v:shape>
                </w:pict>
              </mc:Fallback>
            </mc:AlternateContent>
          </w:r>
          <w:r w:rsidR="004C7FFE">
            <w:rPr>
              <w:noProof/>
              <w:color w:val="4472C4" w:themeColor="accent1"/>
            </w:rPr>
            <w:drawing>
              <wp:anchor distT="0" distB="0" distL="114300" distR="114300" simplePos="0" relativeHeight="251661312" behindDoc="1" locked="0" layoutInCell="1" allowOverlap="1" wp14:anchorId="7427DB87" wp14:editId="087919D2">
                <wp:simplePos x="0" y="0"/>
                <wp:positionH relativeFrom="margin">
                  <wp:align>center</wp:align>
                </wp:positionH>
                <wp:positionV relativeFrom="paragraph">
                  <wp:posOffset>449877</wp:posOffset>
                </wp:positionV>
                <wp:extent cx="758825" cy="478790"/>
                <wp:effectExtent l="0" t="0" r="3175" b="0"/>
                <wp:wrapTight wrapText="bothSides">
                  <wp:wrapPolygon edited="0">
                    <wp:start x="0" y="0"/>
                    <wp:lineTo x="0" y="3438"/>
                    <wp:lineTo x="3796" y="13751"/>
                    <wp:lineTo x="3796" y="14610"/>
                    <wp:lineTo x="7592" y="20626"/>
                    <wp:lineTo x="8134" y="20626"/>
                    <wp:lineTo x="13014" y="20626"/>
                    <wp:lineTo x="13556" y="20626"/>
                    <wp:lineTo x="17352" y="14610"/>
                    <wp:lineTo x="17352" y="13751"/>
                    <wp:lineTo x="21148" y="3438"/>
                    <wp:lineTo x="21148" y="0"/>
                    <wp:lineTo x="0" y="0"/>
                  </wp:wrapPolygon>
                </wp:wrapTight>
                <wp:docPr id="144" name="Bild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Bilde 144"/>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sidR="00621942">
            <w:br w:type="page"/>
          </w:r>
        </w:p>
      </w:sdtContent>
    </w:sdt>
    <w:sdt>
      <w:sdtPr>
        <w:rPr>
          <w:rFonts w:asciiTheme="minorHAnsi" w:eastAsiaTheme="minorHAnsi" w:hAnsiTheme="minorHAnsi" w:cstheme="minorBidi"/>
          <w:color w:val="auto"/>
          <w:sz w:val="22"/>
          <w:szCs w:val="22"/>
          <w:lang w:val="nb-NO" w:eastAsia="en-US"/>
        </w:rPr>
        <w:id w:val="-1395200133"/>
        <w:docPartObj>
          <w:docPartGallery w:val="Table of Contents"/>
          <w:docPartUnique/>
        </w:docPartObj>
      </w:sdtPr>
      <w:sdtEndPr>
        <w:rPr>
          <w:b/>
          <w:bCs/>
        </w:rPr>
      </w:sdtEndPr>
      <w:sdtContent>
        <w:p w14:paraId="23463768" w14:textId="298630DC" w:rsidR="006D58CE" w:rsidRPr="006D58CE" w:rsidRDefault="006D58CE" w:rsidP="00704D76">
          <w:pPr>
            <w:pStyle w:val="Overskriftforinnholdsfortegnelse"/>
            <w:jc w:val="both"/>
          </w:pPr>
          <w:r w:rsidRPr="006D58CE">
            <w:t>Table of contents</w:t>
          </w:r>
        </w:p>
        <w:p w14:paraId="2DB84939" w14:textId="49BA52B4" w:rsidR="001819E9" w:rsidRDefault="006D58CE">
          <w:pPr>
            <w:pStyle w:val="INNH3"/>
            <w:tabs>
              <w:tab w:val="right" w:leader="dot" w:pos="8210"/>
            </w:tabs>
            <w:rPr>
              <w:rFonts w:eastAsiaTheme="minorEastAsia"/>
              <w:noProof/>
              <w:lang w:eastAsia="en-GB"/>
            </w:rPr>
          </w:pPr>
          <w:r w:rsidRPr="006D58CE">
            <w:rPr>
              <w:sz w:val="24"/>
              <w:szCs w:val="24"/>
            </w:rPr>
            <w:fldChar w:fldCharType="begin"/>
          </w:r>
          <w:r w:rsidRPr="006D58CE">
            <w:rPr>
              <w:sz w:val="24"/>
              <w:szCs w:val="24"/>
            </w:rPr>
            <w:instrText xml:space="preserve"> TOC \o "1-4" \u </w:instrText>
          </w:r>
          <w:r w:rsidRPr="006D58CE">
            <w:rPr>
              <w:sz w:val="24"/>
              <w:szCs w:val="24"/>
            </w:rPr>
            <w:fldChar w:fldCharType="separate"/>
          </w:r>
          <w:r w:rsidR="001819E9">
            <w:rPr>
              <w:noProof/>
            </w:rPr>
            <w:t>Abbreviations</w:t>
          </w:r>
          <w:r w:rsidR="001819E9">
            <w:rPr>
              <w:noProof/>
            </w:rPr>
            <w:tab/>
          </w:r>
          <w:r w:rsidR="001819E9">
            <w:rPr>
              <w:noProof/>
            </w:rPr>
            <w:fldChar w:fldCharType="begin"/>
          </w:r>
          <w:r w:rsidR="001819E9">
            <w:rPr>
              <w:noProof/>
            </w:rPr>
            <w:instrText xml:space="preserve"> PAGEREF _Toc93326797 \h </w:instrText>
          </w:r>
          <w:r w:rsidR="001819E9">
            <w:rPr>
              <w:noProof/>
            </w:rPr>
          </w:r>
          <w:r w:rsidR="001819E9">
            <w:rPr>
              <w:noProof/>
            </w:rPr>
            <w:fldChar w:fldCharType="separate"/>
          </w:r>
          <w:r w:rsidR="0026666E">
            <w:rPr>
              <w:noProof/>
            </w:rPr>
            <w:t>2</w:t>
          </w:r>
          <w:r w:rsidR="001819E9">
            <w:rPr>
              <w:noProof/>
            </w:rPr>
            <w:fldChar w:fldCharType="end"/>
          </w:r>
        </w:p>
        <w:p w14:paraId="11DDD757" w14:textId="0403D778" w:rsidR="001819E9" w:rsidRDefault="001819E9">
          <w:pPr>
            <w:pStyle w:val="INNH3"/>
            <w:tabs>
              <w:tab w:val="right" w:leader="dot" w:pos="8210"/>
            </w:tabs>
            <w:rPr>
              <w:rFonts w:eastAsiaTheme="minorEastAsia"/>
              <w:noProof/>
              <w:lang w:eastAsia="en-GB"/>
            </w:rPr>
          </w:pPr>
          <w:r>
            <w:rPr>
              <w:noProof/>
            </w:rPr>
            <w:t>1. Introduction</w:t>
          </w:r>
          <w:r>
            <w:rPr>
              <w:noProof/>
            </w:rPr>
            <w:tab/>
          </w:r>
          <w:r>
            <w:rPr>
              <w:noProof/>
            </w:rPr>
            <w:fldChar w:fldCharType="begin"/>
          </w:r>
          <w:r>
            <w:rPr>
              <w:noProof/>
            </w:rPr>
            <w:instrText xml:space="preserve"> PAGEREF _Toc93326798 \h </w:instrText>
          </w:r>
          <w:r>
            <w:rPr>
              <w:noProof/>
            </w:rPr>
          </w:r>
          <w:r>
            <w:rPr>
              <w:noProof/>
            </w:rPr>
            <w:fldChar w:fldCharType="separate"/>
          </w:r>
          <w:r w:rsidR="0026666E">
            <w:rPr>
              <w:noProof/>
            </w:rPr>
            <w:t>3</w:t>
          </w:r>
          <w:r>
            <w:rPr>
              <w:noProof/>
            </w:rPr>
            <w:fldChar w:fldCharType="end"/>
          </w:r>
        </w:p>
        <w:p w14:paraId="069AF0F6" w14:textId="681EEF85" w:rsidR="001819E9" w:rsidRDefault="001819E9">
          <w:pPr>
            <w:pStyle w:val="INNH3"/>
            <w:tabs>
              <w:tab w:val="right" w:leader="dot" w:pos="8210"/>
            </w:tabs>
            <w:rPr>
              <w:rFonts w:eastAsiaTheme="minorEastAsia"/>
              <w:noProof/>
              <w:lang w:eastAsia="en-GB"/>
            </w:rPr>
          </w:pPr>
          <w:r>
            <w:rPr>
              <w:noProof/>
            </w:rPr>
            <w:t>2. Background</w:t>
          </w:r>
          <w:r>
            <w:rPr>
              <w:noProof/>
            </w:rPr>
            <w:tab/>
          </w:r>
          <w:r>
            <w:rPr>
              <w:noProof/>
            </w:rPr>
            <w:fldChar w:fldCharType="begin"/>
          </w:r>
          <w:r>
            <w:rPr>
              <w:noProof/>
            </w:rPr>
            <w:instrText xml:space="preserve"> PAGEREF _Toc93326799 \h </w:instrText>
          </w:r>
          <w:r>
            <w:rPr>
              <w:noProof/>
            </w:rPr>
          </w:r>
          <w:r>
            <w:rPr>
              <w:noProof/>
            </w:rPr>
            <w:fldChar w:fldCharType="separate"/>
          </w:r>
          <w:r w:rsidR="0026666E">
            <w:rPr>
              <w:noProof/>
            </w:rPr>
            <w:t>3</w:t>
          </w:r>
          <w:r>
            <w:rPr>
              <w:noProof/>
            </w:rPr>
            <w:fldChar w:fldCharType="end"/>
          </w:r>
        </w:p>
        <w:p w14:paraId="011AC45E" w14:textId="3F8FAF5A" w:rsidR="001819E9" w:rsidRDefault="001819E9">
          <w:pPr>
            <w:pStyle w:val="INNH4"/>
            <w:rPr>
              <w:rFonts w:eastAsiaTheme="minorEastAsia"/>
              <w:noProof/>
              <w:lang w:eastAsia="en-GB"/>
            </w:rPr>
          </w:pPr>
          <w:r>
            <w:rPr>
              <w:noProof/>
            </w:rPr>
            <w:t>2.1. Clinical features of Crohn disease</w:t>
          </w:r>
          <w:r>
            <w:rPr>
              <w:noProof/>
            </w:rPr>
            <w:tab/>
          </w:r>
          <w:r>
            <w:rPr>
              <w:noProof/>
            </w:rPr>
            <w:fldChar w:fldCharType="begin"/>
          </w:r>
          <w:r>
            <w:rPr>
              <w:noProof/>
            </w:rPr>
            <w:instrText xml:space="preserve"> PAGEREF _Toc93326800 \h </w:instrText>
          </w:r>
          <w:r>
            <w:rPr>
              <w:noProof/>
            </w:rPr>
          </w:r>
          <w:r>
            <w:rPr>
              <w:noProof/>
            </w:rPr>
            <w:fldChar w:fldCharType="separate"/>
          </w:r>
          <w:r w:rsidR="0026666E">
            <w:rPr>
              <w:noProof/>
            </w:rPr>
            <w:t>3</w:t>
          </w:r>
          <w:r>
            <w:rPr>
              <w:noProof/>
            </w:rPr>
            <w:fldChar w:fldCharType="end"/>
          </w:r>
        </w:p>
        <w:p w14:paraId="7AEC0A0F" w14:textId="6ADE6E67" w:rsidR="001819E9" w:rsidRDefault="001819E9">
          <w:pPr>
            <w:pStyle w:val="INNH4"/>
            <w:rPr>
              <w:rFonts w:eastAsiaTheme="minorEastAsia"/>
              <w:noProof/>
              <w:lang w:eastAsia="en-GB"/>
            </w:rPr>
          </w:pPr>
          <w:r>
            <w:rPr>
              <w:noProof/>
            </w:rPr>
            <w:t>2.2. Incidence and prevalence of Crohn disease</w:t>
          </w:r>
          <w:r>
            <w:rPr>
              <w:noProof/>
            </w:rPr>
            <w:tab/>
          </w:r>
          <w:r>
            <w:rPr>
              <w:noProof/>
            </w:rPr>
            <w:fldChar w:fldCharType="begin"/>
          </w:r>
          <w:r>
            <w:rPr>
              <w:noProof/>
            </w:rPr>
            <w:instrText xml:space="preserve"> PAGEREF _Toc93326801 \h </w:instrText>
          </w:r>
          <w:r>
            <w:rPr>
              <w:noProof/>
            </w:rPr>
          </w:r>
          <w:r>
            <w:rPr>
              <w:noProof/>
            </w:rPr>
            <w:fldChar w:fldCharType="separate"/>
          </w:r>
          <w:r w:rsidR="0026666E">
            <w:rPr>
              <w:noProof/>
            </w:rPr>
            <w:t>4</w:t>
          </w:r>
          <w:r>
            <w:rPr>
              <w:noProof/>
            </w:rPr>
            <w:fldChar w:fldCharType="end"/>
          </w:r>
        </w:p>
        <w:p w14:paraId="4C4ADF54" w14:textId="5CE4AC7E" w:rsidR="001819E9" w:rsidRDefault="001819E9">
          <w:pPr>
            <w:pStyle w:val="INNH4"/>
            <w:rPr>
              <w:rFonts w:eastAsiaTheme="minorEastAsia"/>
              <w:noProof/>
              <w:lang w:eastAsia="en-GB"/>
            </w:rPr>
          </w:pPr>
          <w:r>
            <w:rPr>
              <w:noProof/>
            </w:rPr>
            <w:t>2.3. Environmental risk factors for Crohn disease</w:t>
          </w:r>
          <w:r>
            <w:rPr>
              <w:noProof/>
            </w:rPr>
            <w:tab/>
          </w:r>
          <w:r>
            <w:rPr>
              <w:noProof/>
            </w:rPr>
            <w:fldChar w:fldCharType="begin"/>
          </w:r>
          <w:r>
            <w:rPr>
              <w:noProof/>
            </w:rPr>
            <w:instrText xml:space="preserve"> PAGEREF _Toc93326802 \h </w:instrText>
          </w:r>
          <w:r>
            <w:rPr>
              <w:noProof/>
            </w:rPr>
          </w:r>
          <w:r>
            <w:rPr>
              <w:noProof/>
            </w:rPr>
            <w:fldChar w:fldCharType="separate"/>
          </w:r>
          <w:r w:rsidR="0026666E">
            <w:rPr>
              <w:noProof/>
            </w:rPr>
            <w:t>5</w:t>
          </w:r>
          <w:r>
            <w:rPr>
              <w:noProof/>
            </w:rPr>
            <w:fldChar w:fldCharType="end"/>
          </w:r>
        </w:p>
        <w:p w14:paraId="6F6684E3" w14:textId="447276FF" w:rsidR="001819E9" w:rsidRDefault="001819E9">
          <w:pPr>
            <w:pStyle w:val="INNH4"/>
            <w:rPr>
              <w:rFonts w:eastAsiaTheme="minorEastAsia"/>
              <w:noProof/>
              <w:lang w:eastAsia="en-GB"/>
            </w:rPr>
          </w:pPr>
          <w:r>
            <w:rPr>
              <w:noProof/>
            </w:rPr>
            <w:t>2.4. Genetic risk factors for Crohn disease</w:t>
          </w:r>
          <w:r>
            <w:rPr>
              <w:noProof/>
            </w:rPr>
            <w:tab/>
          </w:r>
          <w:r>
            <w:rPr>
              <w:noProof/>
            </w:rPr>
            <w:fldChar w:fldCharType="begin"/>
          </w:r>
          <w:r>
            <w:rPr>
              <w:noProof/>
            </w:rPr>
            <w:instrText xml:space="preserve"> PAGEREF _Toc93326803 \h </w:instrText>
          </w:r>
          <w:r>
            <w:rPr>
              <w:noProof/>
            </w:rPr>
          </w:r>
          <w:r>
            <w:rPr>
              <w:noProof/>
            </w:rPr>
            <w:fldChar w:fldCharType="separate"/>
          </w:r>
          <w:r w:rsidR="0026666E">
            <w:rPr>
              <w:noProof/>
            </w:rPr>
            <w:t>5</w:t>
          </w:r>
          <w:r>
            <w:rPr>
              <w:noProof/>
            </w:rPr>
            <w:fldChar w:fldCharType="end"/>
          </w:r>
        </w:p>
        <w:p w14:paraId="4B04DD78" w14:textId="5AD786AE" w:rsidR="001819E9" w:rsidRDefault="001819E9">
          <w:pPr>
            <w:pStyle w:val="INNH4"/>
            <w:rPr>
              <w:rFonts w:eastAsiaTheme="minorEastAsia"/>
              <w:noProof/>
              <w:lang w:eastAsia="en-GB"/>
            </w:rPr>
          </w:pPr>
          <w:r>
            <w:rPr>
              <w:noProof/>
            </w:rPr>
            <w:t>2.5. Morbidity and healthcare-associated costs of Crohn disease</w:t>
          </w:r>
          <w:r>
            <w:rPr>
              <w:noProof/>
            </w:rPr>
            <w:tab/>
          </w:r>
          <w:r>
            <w:rPr>
              <w:noProof/>
            </w:rPr>
            <w:fldChar w:fldCharType="begin"/>
          </w:r>
          <w:r>
            <w:rPr>
              <w:noProof/>
            </w:rPr>
            <w:instrText xml:space="preserve"> PAGEREF _Toc93326804 \h </w:instrText>
          </w:r>
          <w:r>
            <w:rPr>
              <w:noProof/>
            </w:rPr>
          </w:r>
          <w:r>
            <w:rPr>
              <w:noProof/>
            </w:rPr>
            <w:fldChar w:fldCharType="separate"/>
          </w:r>
          <w:r w:rsidR="0026666E">
            <w:rPr>
              <w:noProof/>
            </w:rPr>
            <w:t>6</w:t>
          </w:r>
          <w:r>
            <w:rPr>
              <w:noProof/>
            </w:rPr>
            <w:fldChar w:fldCharType="end"/>
          </w:r>
        </w:p>
        <w:p w14:paraId="14B118BE" w14:textId="2C028253" w:rsidR="001819E9" w:rsidRDefault="001819E9">
          <w:pPr>
            <w:pStyle w:val="INNH3"/>
            <w:tabs>
              <w:tab w:val="right" w:leader="dot" w:pos="8210"/>
            </w:tabs>
            <w:rPr>
              <w:rFonts w:eastAsiaTheme="minorEastAsia"/>
              <w:noProof/>
              <w:lang w:eastAsia="en-GB"/>
            </w:rPr>
          </w:pPr>
          <w:r>
            <w:rPr>
              <w:noProof/>
            </w:rPr>
            <w:t>3. Methods</w:t>
          </w:r>
          <w:r>
            <w:rPr>
              <w:noProof/>
            </w:rPr>
            <w:tab/>
          </w:r>
          <w:r>
            <w:rPr>
              <w:noProof/>
            </w:rPr>
            <w:fldChar w:fldCharType="begin"/>
          </w:r>
          <w:r>
            <w:rPr>
              <w:noProof/>
            </w:rPr>
            <w:instrText xml:space="preserve"> PAGEREF _Toc93326805 \h </w:instrText>
          </w:r>
          <w:r>
            <w:rPr>
              <w:noProof/>
            </w:rPr>
          </w:r>
          <w:r>
            <w:rPr>
              <w:noProof/>
            </w:rPr>
            <w:fldChar w:fldCharType="separate"/>
          </w:r>
          <w:r w:rsidR="0026666E">
            <w:rPr>
              <w:noProof/>
            </w:rPr>
            <w:t>6</w:t>
          </w:r>
          <w:r>
            <w:rPr>
              <w:noProof/>
            </w:rPr>
            <w:fldChar w:fldCharType="end"/>
          </w:r>
        </w:p>
        <w:p w14:paraId="690EE3D3" w14:textId="1910C59F" w:rsidR="001819E9" w:rsidRDefault="001819E9">
          <w:pPr>
            <w:pStyle w:val="INNH3"/>
            <w:tabs>
              <w:tab w:val="right" w:leader="dot" w:pos="8210"/>
            </w:tabs>
            <w:rPr>
              <w:rFonts w:eastAsiaTheme="minorEastAsia"/>
              <w:noProof/>
              <w:lang w:eastAsia="en-GB"/>
            </w:rPr>
          </w:pPr>
          <w:r>
            <w:rPr>
              <w:noProof/>
            </w:rPr>
            <w:t>4. The role of the gut microbiome in the pathophysiology of Crohn disease</w:t>
          </w:r>
          <w:r>
            <w:rPr>
              <w:noProof/>
            </w:rPr>
            <w:tab/>
          </w:r>
          <w:r>
            <w:rPr>
              <w:noProof/>
            </w:rPr>
            <w:fldChar w:fldCharType="begin"/>
          </w:r>
          <w:r>
            <w:rPr>
              <w:noProof/>
            </w:rPr>
            <w:instrText xml:space="preserve"> PAGEREF _Toc93326806 \h </w:instrText>
          </w:r>
          <w:r>
            <w:rPr>
              <w:noProof/>
            </w:rPr>
          </w:r>
          <w:r>
            <w:rPr>
              <w:noProof/>
            </w:rPr>
            <w:fldChar w:fldCharType="separate"/>
          </w:r>
          <w:r w:rsidR="0026666E">
            <w:rPr>
              <w:noProof/>
            </w:rPr>
            <w:t>7</w:t>
          </w:r>
          <w:r>
            <w:rPr>
              <w:noProof/>
            </w:rPr>
            <w:fldChar w:fldCharType="end"/>
          </w:r>
        </w:p>
        <w:p w14:paraId="7B46F555" w14:textId="70F78BB0" w:rsidR="001819E9" w:rsidRDefault="001819E9">
          <w:pPr>
            <w:pStyle w:val="INNH4"/>
            <w:rPr>
              <w:rFonts w:eastAsiaTheme="minorEastAsia"/>
              <w:noProof/>
              <w:lang w:eastAsia="en-GB"/>
            </w:rPr>
          </w:pPr>
          <w:r>
            <w:rPr>
              <w:noProof/>
            </w:rPr>
            <w:t>4.1. The healthy human gut microbiome</w:t>
          </w:r>
          <w:r>
            <w:rPr>
              <w:noProof/>
            </w:rPr>
            <w:tab/>
          </w:r>
          <w:r>
            <w:rPr>
              <w:noProof/>
            </w:rPr>
            <w:fldChar w:fldCharType="begin"/>
          </w:r>
          <w:r>
            <w:rPr>
              <w:noProof/>
            </w:rPr>
            <w:instrText xml:space="preserve"> PAGEREF _Toc93326807 \h </w:instrText>
          </w:r>
          <w:r>
            <w:rPr>
              <w:noProof/>
            </w:rPr>
          </w:r>
          <w:r>
            <w:rPr>
              <w:noProof/>
            </w:rPr>
            <w:fldChar w:fldCharType="separate"/>
          </w:r>
          <w:r w:rsidR="0026666E">
            <w:rPr>
              <w:noProof/>
            </w:rPr>
            <w:t>7</w:t>
          </w:r>
          <w:r>
            <w:rPr>
              <w:noProof/>
            </w:rPr>
            <w:fldChar w:fldCharType="end"/>
          </w:r>
        </w:p>
        <w:p w14:paraId="6C3EBC5B" w14:textId="77791265" w:rsidR="001819E9" w:rsidRDefault="001819E9">
          <w:pPr>
            <w:pStyle w:val="INNH4"/>
            <w:rPr>
              <w:rFonts w:eastAsiaTheme="minorEastAsia"/>
              <w:noProof/>
              <w:lang w:eastAsia="en-GB"/>
            </w:rPr>
          </w:pPr>
          <w:r>
            <w:rPr>
              <w:noProof/>
            </w:rPr>
            <w:t>4.2. The gut microbiome in Crohn disease patients</w:t>
          </w:r>
          <w:r>
            <w:rPr>
              <w:noProof/>
            </w:rPr>
            <w:tab/>
          </w:r>
          <w:r>
            <w:rPr>
              <w:noProof/>
            </w:rPr>
            <w:fldChar w:fldCharType="begin"/>
          </w:r>
          <w:r>
            <w:rPr>
              <w:noProof/>
            </w:rPr>
            <w:instrText xml:space="preserve"> PAGEREF _Toc93326808 \h </w:instrText>
          </w:r>
          <w:r>
            <w:rPr>
              <w:noProof/>
            </w:rPr>
          </w:r>
          <w:r>
            <w:rPr>
              <w:noProof/>
            </w:rPr>
            <w:fldChar w:fldCharType="separate"/>
          </w:r>
          <w:r w:rsidR="0026666E">
            <w:rPr>
              <w:noProof/>
            </w:rPr>
            <w:t>8</w:t>
          </w:r>
          <w:r>
            <w:rPr>
              <w:noProof/>
            </w:rPr>
            <w:fldChar w:fldCharType="end"/>
          </w:r>
        </w:p>
        <w:p w14:paraId="3DCCE047" w14:textId="3D629AAB" w:rsidR="001819E9" w:rsidRDefault="001819E9">
          <w:pPr>
            <w:pStyle w:val="INNH3"/>
            <w:tabs>
              <w:tab w:val="right" w:leader="dot" w:pos="8210"/>
            </w:tabs>
            <w:rPr>
              <w:rFonts w:eastAsiaTheme="minorEastAsia"/>
              <w:noProof/>
              <w:lang w:eastAsia="en-GB"/>
            </w:rPr>
          </w:pPr>
          <w:r>
            <w:rPr>
              <w:noProof/>
            </w:rPr>
            <w:t>5. Dietary habits in Crohn disease patients</w:t>
          </w:r>
          <w:r>
            <w:rPr>
              <w:noProof/>
            </w:rPr>
            <w:tab/>
          </w:r>
          <w:r>
            <w:rPr>
              <w:noProof/>
            </w:rPr>
            <w:fldChar w:fldCharType="begin"/>
          </w:r>
          <w:r>
            <w:rPr>
              <w:noProof/>
            </w:rPr>
            <w:instrText xml:space="preserve"> PAGEREF _Toc93326809 \h </w:instrText>
          </w:r>
          <w:r>
            <w:rPr>
              <w:noProof/>
            </w:rPr>
          </w:r>
          <w:r>
            <w:rPr>
              <w:noProof/>
            </w:rPr>
            <w:fldChar w:fldCharType="separate"/>
          </w:r>
          <w:r w:rsidR="0026666E">
            <w:rPr>
              <w:noProof/>
            </w:rPr>
            <w:t>10</w:t>
          </w:r>
          <w:r>
            <w:rPr>
              <w:noProof/>
            </w:rPr>
            <w:fldChar w:fldCharType="end"/>
          </w:r>
        </w:p>
        <w:p w14:paraId="77C4C8F3" w14:textId="12BD085A" w:rsidR="001819E9" w:rsidRDefault="001819E9">
          <w:pPr>
            <w:pStyle w:val="INNH3"/>
            <w:tabs>
              <w:tab w:val="right" w:leader="dot" w:pos="8210"/>
            </w:tabs>
            <w:rPr>
              <w:rFonts w:eastAsiaTheme="minorEastAsia"/>
              <w:noProof/>
              <w:lang w:eastAsia="en-GB"/>
            </w:rPr>
          </w:pPr>
          <w:r>
            <w:rPr>
              <w:noProof/>
            </w:rPr>
            <w:t>6. Specific dietary interventions</w:t>
          </w:r>
          <w:r>
            <w:rPr>
              <w:noProof/>
            </w:rPr>
            <w:tab/>
          </w:r>
          <w:r>
            <w:rPr>
              <w:noProof/>
            </w:rPr>
            <w:fldChar w:fldCharType="begin"/>
          </w:r>
          <w:r>
            <w:rPr>
              <w:noProof/>
            </w:rPr>
            <w:instrText xml:space="preserve"> PAGEREF _Toc93326810 \h </w:instrText>
          </w:r>
          <w:r>
            <w:rPr>
              <w:noProof/>
            </w:rPr>
          </w:r>
          <w:r>
            <w:rPr>
              <w:noProof/>
            </w:rPr>
            <w:fldChar w:fldCharType="separate"/>
          </w:r>
          <w:r w:rsidR="0026666E">
            <w:rPr>
              <w:noProof/>
            </w:rPr>
            <w:t>12</w:t>
          </w:r>
          <w:r>
            <w:rPr>
              <w:noProof/>
            </w:rPr>
            <w:fldChar w:fldCharType="end"/>
          </w:r>
        </w:p>
        <w:p w14:paraId="535E0537" w14:textId="158B5054" w:rsidR="001819E9" w:rsidRDefault="001819E9">
          <w:pPr>
            <w:pStyle w:val="INNH4"/>
            <w:rPr>
              <w:rFonts w:eastAsiaTheme="minorEastAsia"/>
              <w:noProof/>
              <w:lang w:eastAsia="en-GB"/>
            </w:rPr>
          </w:pPr>
          <w:r>
            <w:rPr>
              <w:noProof/>
            </w:rPr>
            <w:t>6.1. Dietary fibre</w:t>
          </w:r>
          <w:r>
            <w:rPr>
              <w:noProof/>
            </w:rPr>
            <w:tab/>
          </w:r>
          <w:r>
            <w:rPr>
              <w:noProof/>
            </w:rPr>
            <w:fldChar w:fldCharType="begin"/>
          </w:r>
          <w:r>
            <w:rPr>
              <w:noProof/>
            </w:rPr>
            <w:instrText xml:space="preserve"> PAGEREF _Toc93326811 \h </w:instrText>
          </w:r>
          <w:r>
            <w:rPr>
              <w:noProof/>
            </w:rPr>
          </w:r>
          <w:r>
            <w:rPr>
              <w:noProof/>
            </w:rPr>
            <w:fldChar w:fldCharType="separate"/>
          </w:r>
          <w:r w:rsidR="0026666E">
            <w:rPr>
              <w:noProof/>
            </w:rPr>
            <w:t>12</w:t>
          </w:r>
          <w:r>
            <w:rPr>
              <w:noProof/>
            </w:rPr>
            <w:fldChar w:fldCharType="end"/>
          </w:r>
        </w:p>
        <w:p w14:paraId="58FB0165" w14:textId="2C140FA2" w:rsidR="001819E9" w:rsidRDefault="001819E9">
          <w:pPr>
            <w:pStyle w:val="INNH4"/>
            <w:rPr>
              <w:rFonts w:eastAsiaTheme="minorEastAsia"/>
              <w:noProof/>
              <w:lang w:eastAsia="en-GB"/>
            </w:rPr>
          </w:pPr>
          <w:r>
            <w:rPr>
              <w:noProof/>
            </w:rPr>
            <w:t>6.2. Exclusive enteral nutrition and partial enteral nutrition</w:t>
          </w:r>
          <w:r>
            <w:rPr>
              <w:noProof/>
            </w:rPr>
            <w:tab/>
          </w:r>
          <w:r>
            <w:rPr>
              <w:noProof/>
            </w:rPr>
            <w:fldChar w:fldCharType="begin"/>
          </w:r>
          <w:r>
            <w:rPr>
              <w:noProof/>
            </w:rPr>
            <w:instrText xml:space="preserve"> PAGEREF _Toc93326812 \h </w:instrText>
          </w:r>
          <w:r>
            <w:rPr>
              <w:noProof/>
            </w:rPr>
          </w:r>
          <w:r>
            <w:rPr>
              <w:noProof/>
            </w:rPr>
            <w:fldChar w:fldCharType="separate"/>
          </w:r>
          <w:r w:rsidR="0026666E">
            <w:rPr>
              <w:noProof/>
            </w:rPr>
            <w:t>15</w:t>
          </w:r>
          <w:r>
            <w:rPr>
              <w:noProof/>
            </w:rPr>
            <w:fldChar w:fldCharType="end"/>
          </w:r>
        </w:p>
        <w:p w14:paraId="3071678B" w14:textId="125FAB35" w:rsidR="001819E9" w:rsidRDefault="001819E9">
          <w:pPr>
            <w:pStyle w:val="INNH4"/>
            <w:rPr>
              <w:rFonts w:eastAsiaTheme="minorEastAsia"/>
              <w:noProof/>
              <w:lang w:eastAsia="en-GB"/>
            </w:rPr>
          </w:pPr>
          <w:r>
            <w:rPr>
              <w:noProof/>
            </w:rPr>
            <w:t>6.3. Crohn disease exclusion diet</w:t>
          </w:r>
          <w:r>
            <w:rPr>
              <w:noProof/>
            </w:rPr>
            <w:tab/>
          </w:r>
          <w:r>
            <w:rPr>
              <w:noProof/>
            </w:rPr>
            <w:fldChar w:fldCharType="begin"/>
          </w:r>
          <w:r>
            <w:rPr>
              <w:noProof/>
            </w:rPr>
            <w:instrText xml:space="preserve"> PAGEREF _Toc93326813 \h </w:instrText>
          </w:r>
          <w:r>
            <w:rPr>
              <w:noProof/>
            </w:rPr>
          </w:r>
          <w:r>
            <w:rPr>
              <w:noProof/>
            </w:rPr>
            <w:fldChar w:fldCharType="separate"/>
          </w:r>
          <w:r w:rsidR="0026666E">
            <w:rPr>
              <w:noProof/>
            </w:rPr>
            <w:t>16</w:t>
          </w:r>
          <w:r>
            <w:rPr>
              <w:noProof/>
            </w:rPr>
            <w:fldChar w:fldCharType="end"/>
          </w:r>
        </w:p>
        <w:p w14:paraId="099E0FE6" w14:textId="23CA40B7" w:rsidR="001819E9" w:rsidRDefault="001819E9">
          <w:pPr>
            <w:pStyle w:val="INNH4"/>
            <w:rPr>
              <w:rFonts w:eastAsiaTheme="minorEastAsia"/>
              <w:noProof/>
              <w:lang w:eastAsia="en-GB"/>
            </w:rPr>
          </w:pPr>
          <w:r>
            <w:rPr>
              <w:noProof/>
            </w:rPr>
            <w:t>6.4. CD-TREAT diet</w:t>
          </w:r>
          <w:r>
            <w:rPr>
              <w:noProof/>
            </w:rPr>
            <w:tab/>
          </w:r>
          <w:r>
            <w:rPr>
              <w:noProof/>
            </w:rPr>
            <w:fldChar w:fldCharType="begin"/>
          </w:r>
          <w:r>
            <w:rPr>
              <w:noProof/>
            </w:rPr>
            <w:instrText xml:space="preserve"> PAGEREF _Toc93326814 \h </w:instrText>
          </w:r>
          <w:r>
            <w:rPr>
              <w:noProof/>
            </w:rPr>
          </w:r>
          <w:r>
            <w:rPr>
              <w:noProof/>
            </w:rPr>
            <w:fldChar w:fldCharType="separate"/>
          </w:r>
          <w:r w:rsidR="0026666E">
            <w:rPr>
              <w:noProof/>
            </w:rPr>
            <w:t>18</w:t>
          </w:r>
          <w:r>
            <w:rPr>
              <w:noProof/>
            </w:rPr>
            <w:fldChar w:fldCharType="end"/>
          </w:r>
        </w:p>
        <w:p w14:paraId="0FD49A36" w14:textId="1899099C" w:rsidR="001819E9" w:rsidRDefault="001819E9">
          <w:pPr>
            <w:pStyle w:val="INNH3"/>
            <w:tabs>
              <w:tab w:val="right" w:leader="dot" w:pos="8210"/>
            </w:tabs>
            <w:rPr>
              <w:rFonts w:eastAsiaTheme="minorEastAsia"/>
              <w:noProof/>
              <w:lang w:eastAsia="en-GB"/>
            </w:rPr>
          </w:pPr>
          <w:r>
            <w:rPr>
              <w:noProof/>
            </w:rPr>
            <w:t>7. Discussion</w:t>
          </w:r>
          <w:r>
            <w:rPr>
              <w:noProof/>
            </w:rPr>
            <w:tab/>
          </w:r>
          <w:r>
            <w:rPr>
              <w:noProof/>
            </w:rPr>
            <w:fldChar w:fldCharType="begin"/>
          </w:r>
          <w:r>
            <w:rPr>
              <w:noProof/>
            </w:rPr>
            <w:instrText xml:space="preserve"> PAGEREF _Toc93326815 \h </w:instrText>
          </w:r>
          <w:r>
            <w:rPr>
              <w:noProof/>
            </w:rPr>
          </w:r>
          <w:r>
            <w:rPr>
              <w:noProof/>
            </w:rPr>
            <w:fldChar w:fldCharType="separate"/>
          </w:r>
          <w:r w:rsidR="0026666E">
            <w:rPr>
              <w:noProof/>
            </w:rPr>
            <w:t>21</w:t>
          </w:r>
          <w:r>
            <w:rPr>
              <w:noProof/>
            </w:rPr>
            <w:fldChar w:fldCharType="end"/>
          </w:r>
        </w:p>
        <w:p w14:paraId="6A2CD12C" w14:textId="567F86A1" w:rsidR="001819E9" w:rsidRDefault="001819E9">
          <w:pPr>
            <w:pStyle w:val="INNH3"/>
            <w:tabs>
              <w:tab w:val="right" w:leader="dot" w:pos="8210"/>
            </w:tabs>
            <w:rPr>
              <w:rFonts w:eastAsiaTheme="minorEastAsia"/>
              <w:noProof/>
              <w:lang w:eastAsia="en-GB"/>
            </w:rPr>
          </w:pPr>
          <w:r>
            <w:rPr>
              <w:noProof/>
            </w:rPr>
            <w:t>8. Conclusion</w:t>
          </w:r>
          <w:r>
            <w:rPr>
              <w:noProof/>
            </w:rPr>
            <w:tab/>
          </w:r>
          <w:r>
            <w:rPr>
              <w:noProof/>
            </w:rPr>
            <w:fldChar w:fldCharType="begin"/>
          </w:r>
          <w:r>
            <w:rPr>
              <w:noProof/>
            </w:rPr>
            <w:instrText xml:space="preserve"> PAGEREF _Toc93326816 \h </w:instrText>
          </w:r>
          <w:r>
            <w:rPr>
              <w:noProof/>
            </w:rPr>
          </w:r>
          <w:r>
            <w:rPr>
              <w:noProof/>
            </w:rPr>
            <w:fldChar w:fldCharType="separate"/>
          </w:r>
          <w:r w:rsidR="0026666E">
            <w:rPr>
              <w:noProof/>
            </w:rPr>
            <w:t>24</w:t>
          </w:r>
          <w:r>
            <w:rPr>
              <w:noProof/>
            </w:rPr>
            <w:fldChar w:fldCharType="end"/>
          </w:r>
        </w:p>
        <w:p w14:paraId="546170BB" w14:textId="7FA3E552" w:rsidR="001819E9" w:rsidRDefault="001819E9">
          <w:pPr>
            <w:pStyle w:val="INNH3"/>
            <w:tabs>
              <w:tab w:val="right" w:leader="dot" w:pos="8210"/>
            </w:tabs>
            <w:rPr>
              <w:rFonts w:eastAsiaTheme="minorEastAsia"/>
              <w:noProof/>
              <w:lang w:eastAsia="en-GB"/>
            </w:rPr>
          </w:pPr>
          <w:r>
            <w:rPr>
              <w:noProof/>
            </w:rPr>
            <w:t>Bibliography</w:t>
          </w:r>
          <w:r>
            <w:rPr>
              <w:noProof/>
            </w:rPr>
            <w:tab/>
          </w:r>
          <w:r>
            <w:rPr>
              <w:noProof/>
            </w:rPr>
            <w:fldChar w:fldCharType="begin"/>
          </w:r>
          <w:r>
            <w:rPr>
              <w:noProof/>
            </w:rPr>
            <w:instrText xml:space="preserve"> PAGEREF _Toc93326817 \h </w:instrText>
          </w:r>
          <w:r>
            <w:rPr>
              <w:noProof/>
            </w:rPr>
          </w:r>
          <w:r>
            <w:rPr>
              <w:noProof/>
            </w:rPr>
            <w:fldChar w:fldCharType="separate"/>
          </w:r>
          <w:r w:rsidR="0026666E">
            <w:rPr>
              <w:noProof/>
            </w:rPr>
            <w:t>25</w:t>
          </w:r>
          <w:r>
            <w:rPr>
              <w:noProof/>
            </w:rPr>
            <w:fldChar w:fldCharType="end"/>
          </w:r>
        </w:p>
        <w:p w14:paraId="6316B211" w14:textId="392E976B" w:rsidR="004A6FB0" w:rsidRDefault="006D58CE" w:rsidP="00704D76">
          <w:pPr>
            <w:jc w:val="both"/>
            <w:rPr>
              <w:b/>
              <w:bCs/>
              <w:lang w:val="nb-NO"/>
            </w:rPr>
          </w:pPr>
          <w:r w:rsidRPr="006D58CE">
            <w:rPr>
              <w:sz w:val="24"/>
              <w:szCs w:val="24"/>
            </w:rPr>
            <w:fldChar w:fldCharType="end"/>
          </w:r>
        </w:p>
      </w:sdtContent>
    </w:sdt>
    <w:p w14:paraId="3C2A9AB1" w14:textId="0BF57859" w:rsidR="006419D4" w:rsidRDefault="006419D4" w:rsidP="00704D76">
      <w:pPr>
        <w:jc w:val="both"/>
        <w:rPr>
          <w:rFonts w:asciiTheme="majorHAnsi" w:eastAsiaTheme="majorEastAsia" w:hAnsiTheme="majorHAnsi" w:cstheme="majorBidi"/>
          <w:color w:val="1F3763" w:themeColor="accent1" w:themeShade="7F"/>
          <w:sz w:val="24"/>
          <w:szCs w:val="24"/>
        </w:rPr>
      </w:pPr>
      <w:r>
        <w:br w:type="page"/>
      </w:r>
    </w:p>
    <w:p w14:paraId="50D13DC5" w14:textId="159CD1D5" w:rsidR="00F50EF0" w:rsidRDefault="00F50EF0" w:rsidP="00704D76">
      <w:pPr>
        <w:pStyle w:val="Overskrift3"/>
        <w:spacing w:line="360" w:lineRule="auto"/>
        <w:jc w:val="both"/>
      </w:pPr>
      <w:bookmarkStart w:id="1" w:name="_Toc93326797"/>
      <w:r>
        <w:lastRenderedPageBreak/>
        <w:t>Abbreviations</w:t>
      </w:r>
      <w:bookmarkEnd w:id="1"/>
    </w:p>
    <w:p w14:paraId="29E48601" w14:textId="493EE9FB" w:rsidR="00284563" w:rsidRDefault="00284563" w:rsidP="00704D76">
      <w:pPr>
        <w:jc w:val="both"/>
        <w:rPr>
          <w:sz w:val="24"/>
          <w:szCs w:val="24"/>
        </w:rPr>
      </w:pPr>
      <w:r>
        <w:rPr>
          <w:sz w:val="24"/>
          <w:szCs w:val="24"/>
        </w:rPr>
        <w:t>CARD15/NOD2 – Caspase recruitment domain-containing protein 15/nucleotide-binding oligomerization domain-containing protein 2</w:t>
      </w:r>
    </w:p>
    <w:p w14:paraId="539A8557" w14:textId="7AB03A95" w:rsidR="00F50EF0" w:rsidRPr="00512146" w:rsidRDefault="00F50EF0" w:rsidP="00704D76">
      <w:pPr>
        <w:jc w:val="both"/>
        <w:rPr>
          <w:sz w:val="24"/>
          <w:szCs w:val="24"/>
        </w:rPr>
      </w:pPr>
      <w:r w:rsidRPr="00512146">
        <w:rPr>
          <w:sz w:val="24"/>
          <w:szCs w:val="24"/>
        </w:rPr>
        <w:t>CD – Crohn disease</w:t>
      </w:r>
    </w:p>
    <w:p w14:paraId="739D4A29" w14:textId="66BF88DA" w:rsidR="00E311C8" w:rsidRPr="00512146" w:rsidRDefault="00E311C8" w:rsidP="00704D76">
      <w:pPr>
        <w:jc w:val="both"/>
        <w:rPr>
          <w:sz w:val="24"/>
          <w:szCs w:val="24"/>
        </w:rPr>
      </w:pPr>
      <w:r w:rsidRPr="00512146">
        <w:rPr>
          <w:sz w:val="24"/>
          <w:szCs w:val="24"/>
        </w:rPr>
        <w:t>CDAI – Crohn disease Activity Index</w:t>
      </w:r>
    </w:p>
    <w:p w14:paraId="06301FCE" w14:textId="670EC05B" w:rsidR="004C552E" w:rsidRDefault="004C552E" w:rsidP="00704D76">
      <w:pPr>
        <w:jc w:val="both"/>
        <w:rPr>
          <w:sz w:val="24"/>
          <w:szCs w:val="24"/>
        </w:rPr>
      </w:pPr>
      <w:r w:rsidRPr="00512146">
        <w:rPr>
          <w:sz w:val="24"/>
          <w:szCs w:val="24"/>
        </w:rPr>
        <w:t xml:space="preserve">CDED – Crohn disease </w:t>
      </w:r>
      <w:r w:rsidR="005D0E19">
        <w:rPr>
          <w:sz w:val="24"/>
          <w:szCs w:val="24"/>
        </w:rPr>
        <w:t>E</w:t>
      </w:r>
      <w:r w:rsidRPr="00512146">
        <w:rPr>
          <w:sz w:val="24"/>
          <w:szCs w:val="24"/>
        </w:rPr>
        <w:t xml:space="preserve">xclusion </w:t>
      </w:r>
      <w:r w:rsidR="005D0E19">
        <w:rPr>
          <w:sz w:val="24"/>
          <w:szCs w:val="24"/>
        </w:rPr>
        <w:t>D</w:t>
      </w:r>
      <w:r w:rsidRPr="00512146">
        <w:rPr>
          <w:sz w:val="24"/>
          <w:szCs w:val="24"/>
        </w:rPr>
        <w:t>iet</w:t>
      </w:r>
    </w:p>
    <w:p w14:paraId="2C5C19BE" w14:textId="23B2CF59" w:rsidR="00DF3043" w:rsidRDefault="00DF3043" w:rsidP="00704D76">
      <w:pPr>
        <w:jc w:val="both"/>
        <w:rPr>
          <w:sz w:val="24"/>
          <w:szCs w:val="24"/>
        </w:rPr>
      </w:pPr>
      <w:r>
        <w:rPr>
          <w:sz w:val="24"/>
          <w:szCs w:val="24"/>
        </w:rPr>
        <w:t>CD-TREAT – Crohn disease treatment with eating</w:t>
      </w:r>
    </w:p>
    <w:p w14:paraId="1DC961FA" w14:textId="6D271968" w:rsidR="00AC3F43" w:rsidRPr="00512146" w:rsidRDefault="00AC3F43" w:rsidP="00704D76">
      <w:pPr>
        <w:jc w:val="both"/>
        <w:rPr>
          <w:sz w:val="24"/>
          <w:szCs w:val="24"/>
        </w:rPr>
      </w:pPr>
      <w:r>
        <w:rPr>
          <w:sz w:val="24"/>
          <w:szCs w:val="24"/>
        </w:rPr>
        <w:t>CXCL-1 – Chemokine (C-X-C motif) ligand 1</w:t>
      </w:r>
    </w:p>
    <w:p w14:paraId="564C4D81" w14:textId="055F6A29" w:rsidR="00F713EB" w:rsidRPr="00512146" w:rsidRDefault="00F713EB" w:rsidP="00704D76">
      <w:pPr>
        <w:jc w:val="both"/>
        <w:rPr>
          <w:sz w:val="24"/>
          <w:szCs w:val="24"/>
        </w:rPr>
      </w:pPr>
      <w:r w:rsidRPr="00512146">
        <w:rPr>
          <w:sz w:val="24"/>
          <w:szCs w:val="24"/>
        </w:rPr>
        <w:t>E. coli – Escherichia coli</w:t>
      </w:r>
    </w:p>
    <w:p w14:paraId="387853C7" w14:textId="07A8DB21" w:rsidR="00FE043B" w:rsidRPr="00512146" w:rsidRDefault="00FE043B" w:rsidP="00704D76">
      <w:pPr>
        <w:jc w:val="both"/>
        <w:rPr>
          <w:sz w:val="24"/>
          <w:szCs w:val="24"/>
        </w:rPr>
      </w:pPr>
      <w:r w:rsidRPr="00512146">
        <w:rPr>
          <w:sz w:val="24"/>
          <w:szCs w:val="24"/>
        </w:rPr>
        <w:t>ECCO – European Crohn’s and Colitis Organisation</w:t>
      </w:r>
    </w:p>
    <w:p w14:paraId="3F302E14" w14:textId="73EB392F" w:rsidR="00DB3F1C" w:rsidRPr="00512146" w:rsidRDefault="00DB3F1C" w:rsidP="00704D76">
      <w:pPr>
        <w:jc w:val="both"/>
        <w:rPr>
          <w:sz w:val="24"/>
          <w:szCs w:val="24"/>
        </w:rPr>
      </w:pPr>
      <w:r w:rsidRPr="00512146">
        <w:rPr>
          <w:sz w:val="24"/>
          <w:szCs w:val="24"/>
        </w:rPr>
        <w:t>EEN – Exclusive enteral nutrition</w:t>
      </w:r>
    </w:p>
    <w:p w14:paraId="21FDA2C2" w14:textId="7813FCB5" w:rsidR="00FE043B" w:rsidRPr="00512146" w:rsidRDefault="00FE043B" w:rsidP="00704D76">
      <w:pPr>
        <w:jc w:val="both"/>
        <w:rPr>
          <w:sz w:val="24"/>
          <w:szCs w:val="24"/>
        </w:rPr>
      </w:pPr>
      <w:r w:rsidRPr="00512146">
        <w:rPr>
          <w:sz w:val="24"/>
          <w:szCs w:val="24"/>
        </w:rPr>
        <w:t>ESPGHAN – European Society of Paediatric Gastroenterology, Hepatology, and Nutrition</w:t>
      </w:r>
    </w:p>
    <w:p w14:paraId="5A73D495" w14:textId="0C276DE3" w:rsidR="001C0A27" w:rsidRPr="00512146" w:rsidRDefault="001C0A27" w:rsidP="00704D76">
      <w:pPr>
        <w:jc w:val="both"/>
        <w:rPr>
          <w:sz w:val="24"/>
          <w:szCs w:val="24"/>
        </w:rPr>
      </w:pPr>
      <w:r w:rsidRPr="00512146">
        <w:rPr>
          <w:sz w:val="24"/>
          <w:szCs w:val="24"/>
        </w:rPr>
        <w:t>F. prausnitzii – Faecalibacterium prausnitzii</w:t>
      </w:r>
    </w:p>
    <w:p w14:paraId="5FAF5582" w14:textId="1C18D2B9" w:rsidR="00E20CB5" w:rsidRPr="00512146" w:rsidRDefault="00E20CB5" w:rsidP="00704D76">
      <w:pPr>
        <w:jc w:val="both"/>
        <w:rPr>
          <w:sz w:val="24"/>
          <w:szCs w:val="24"/>
        </w:rPr>
      </w:pPr>
      <w:r w:rsidRPr="00512146">
        <w:rPr>
          <w:sz w:val="24"/>
          <w:szCs w:val="24"/>
        </w:rPr>
        <w:t xml:space="preserve">FOS – </w:t>
      </w:r>
      <w:r w:rsidR="006544B6" w:rsidRPr="00512146">
        <w:rPr>
          <w:sz w:val="24"/>
          <w:szCs w:val="24"/>
        </w:rPr>
        <w:t>F</w:t>
      </w:r>
      <w:r w:rsidRPr="00512146">
        <w:rPr>
          <w:sz w:val="24"/>
          <w:szCs w:val="24"/>
        </w:rPr>
        <w:t>ructo-oligosaccharides</w:t>
      </w:r>
    </w:p>
    <w:p w14:paraId="58716C8F" w14:textId="4F631132" w:rsidR="00F50EF0" w:rsidRDefault="00F50EF0" w:rsidP="00704D76">
      <w:pPr>
        <w:jc w:val="both"/>
        <w:rPr>
          <w:sz w:val="24"/>
          <w:szCs w:val="24"/>
        </w:rPr>
      </w:pPr>
      <w:r w:rsidRPr="00512146">
        <w:rPr>
          <w:sz w:val="24"/>
          <w:szCs w:val="24"/>
        </w:rPr>
        <w:t xml:space="preserve">GI – </w:t>
      </w:r>
      <w:r w:rsidR="006544B6" w:rsidRPr="00512146">
        <w:rPr>
          <w:sz w:val="24"/>
          <w:szCs w:val="24"/>
        </w:rPr>
        <w:t>G</w:t>
      </w:r>
      <w:r w:rsidRPr="00512146">
        <w:rPr>
          <w:sz w:val="24"/>
          <w:szCs w:val="24"/>
        </w:rPr>
        <w:t>astrointestinal</w:t>
      </w:r>
    </w:p>
    <w:p w14:paraId="26978DB2" w14:textId="4B362DBE" w:rsidR="00622EF3" w:rsidRPr="00512146" w:rsidRDefault="00622EF3" w:rsidP="00704D76">
      <w:pPr>
        <w:jc w:val="both"/>
        <w:rPr>
          <w:sz w:val="24"/>
          <w:szCs w:val="24"/>
        </w:rPr>
      </w:pPr>
      <w:r>
        <w:rPr>
          <w:sz w:val="24"/>
          <w:szCs w:val="24"/>
        </w:rPr>
        <w:t>HBI – Harvey-Bradshaw Index</w:t>
      </w:r>
    </w:p>
    <w:p w14:paraId="219EE4B2" w14:textId="73C09A17" w:rsidR="00F50EF0" w:rsidRPr="00512146" w:rsidRDefault="00F50EF0" w:rsidP="00704D76">
      <w:pPr>
        <w:jc w:val="both"/>
        <w:rPr>
          <w:sz w:val="24"/>
          <w:szCs w:val="24"/>
        </w:rPr>
      </w:pPr>
      <w:r w:rsidRPr="00512146">
        <w:rPr>
          <w:sz w:val="24"/>
          <w:szCs w:val="24"/>
        </w:rPr>
        <w:t>IBD – Inflammatory bowel disease</w:t>
      </w:r>
    </w:p>
    <w:p w14:paraId="3B13FF3B" w14:textId="4FA2C312" w:rsidR="00E311C8" w:rsidRPr="00512146" w:rsidRDefault="00E311C8" w:rsidP="00704D76">
      <w:pPr>
        <w:jc w:val="both"/>
        <w:rPr>
          <w:sz w:val="24"/>
          <w:szCs w:val="24"/>
        </w:rPr>
      </w:pPr>
      <w:r w:rsidRPr="00512146">
        <w:rPr>
          <w:sz w:val="24"/>
          <w:szCs w:val="24"/>
        </w:rPr>
        <w:t>IL-6 – Interleukin 6</w:t>
      </w:r>
    </w:p>
    <w:p w14:paraId="3EE44B28" w14:textId="32226CE5" w:rsidR="00B90571" w:rsidRPr="00512146" w:rsidRDefault="00B90571" w:rsidP="00704D76">
      <w:pPr>
        <w:jc w:val="both"/>
        <w:rPr>
          <w:sz w:val="24"/>
          <w:szCs w:val="24"/>
        </w:rPr>
      </w:pPr>
      <w:r w:rsidRPr="00512146">
        <w:rPr>
          <w:sz w:val="24"/>
          <w:szCs w:val="24"/>
        </w:rPr>
        <w:t>IL-8 – Interleukin 8</w:t>
      </w:r>
    </w:p>
    <w:p w14:paraId="6DB8617C" w14:textId="4D897E74" w:rsidR="00E311C8" w:rsidRPr="00512146" w:rsidRDefault="00E311C8" w:rsidP="00704D76">
      <w:pPr>
        <w:jc w:val="both"/>
        <w:rPr>
          <w:sz w:val="24"/>
          <w:szCs w:val="24"/>
        </w:rPr>
      </w:pPr>
      <w:r w:rsidRPr="00512146">
        <w:rPr>
          <w:sz w:val="24"/>
          <w:szCs w:val="24"/>
        </w:rPr>
        <w:t>IL-10 – Interleukin 10</w:t>
      </w:r>
    </w:p>
    <w:p w14:paraId="4EFA2288" w14:textId="43D2118A" w:rsidR="0008288A" w:rsidRPr="00512146" w:rsidRDefault="0008288A" w:rsidP="00704D76">
      <w:pPr>
        <w:jc w:val="both"/>
        <w:rPr>
          <w:sz w:val="24"/>
          <w:szCs w:val="24"/>
        </w:rPr>
      </w:pPr>
      <w:r w:rsidRPr="00512146">
        <w:rPr>
          <w:sz w:val="24"/>
          <w:szCs w:val="24"/>
        </w:rPr>
        <w:t>NF-</w:t>
      </w:r>
      <w:proofErr w:type="spellStart"/>
      <w:r w:rsidRPr="00512146">
        <w:rPr>
          <w:sz w:val="24"/>
          <w:szCs w:val="24"/>
        </w:rPr>
        <w:t>κB</w:t>
      </w:r>
      <w:proofErr w:type="spellEnd"/>
      <w:r w:rsidRPr="00512146">
        <w:rPr>
          <w:sz w:val="24"/>
          <w:szCs w:val="24"/>
        </w:rPr>
        <w:t xml:space="preserve"> – Nuclear factor kappa B</w:t>
      </w:r>
    </w:p>
    <w:p w14:paraId="075C1ECF" w14:textId="10132A5D" w:rsidR="00DB3F1C" w:rsidRPr="00512146" w:rsidRDefault="00DB3F1C" w:rsidP="00704D76">
      <w:pPr>
        <w:jc w:val="both"/>
        <w:rPr>
          <w:sz w:val="24"/>
          <w:szCs w:val="24"/>
        </w:rPr>
      </w:pPr>
      <w:r w:rsidRPr="00512146">
        <w:rPr>
          <w:sz w:val="24"/>
          <w:szCs w:val="24"/>
        </w:rPr>
        <w:t>PEN – Partial enteral nutrition</w:t>
      </w:r>
    </w:p>
    <w:p w14:paraId="7EA344A7" w14:textId="243AC06D" w:rsidR="000753D1" w:rsidRPr="00512146" w:rsidRDefault="000753D1" w:rsidP="00704D76">
      <w:pPr>
        <w:jc w:val="both"/>
        <w:rPr>
          <w:sz w:val="24"/>
          <w:szCs w:val="24"/>
        </w:rPr>
      </w:pPr>
      <w:r w:rsidRPr="00512146">
        <w:rPr>
          <w:sz w:val="24"/>
          <w:szCs w:val="24"/>
        </w:rPr>
        <w:t xml:space="preserve">RCT – </w:t>
      </w:r>
      <w:r w:rsidR="006544B6" w:rsidRPr="00512146">
        <w:rPr>
          <w:sz w:val="24"/>
          <w:szCs w:val="24"/>
        </w:rPr>
        <w:t>R</w:t>
      </w:r>
      <w:r w:rsidRPr="00512146">
        <w:rPr>
          <w:sz w:val="24"/>
          <w:szCs w:val="24"/>
        </w:rPr>
        <w:t>andomised controlled trial</w:t>
      </w:r>
    </w:p>
    <w:p w14:paraId="2B43EE2C" w14:textId="37AE7AF8" w:rsidR="00F50EF0" w:rsidRDefault="00F50EF0" w:rsidP="00704D76">
      <w:pPr>
        <w:jc w:val="both"/>
        <w:rPr>
          <w:sz w:val="24"/>
          <w:szCs w:val="24"/>
        </w:rPr>
      </w:pPr>
      <w:r w:rsidRPr="00512146">
        <w:rPr>
          <w:sz w:val="24"/>
          <w:szCs w:val="24"/>
        </w:rPr>
        <w:t>SCFA – Short-chain fatty acids</w:t>
      </w:r>
    </w:p>
    <w:p w14:paraId="3BB03B09" w14:textId="0FDE51C3" w:rsidR="00284563" w:rsidRPr="00512146" w:rsidRDefault="00284563" w:rsidP="00704D76">
      <w:pPr>
        <w:jc w:val="both"/>
        <w:rPr>
          <w:sz w:val="24"/>
          <w:szCs w:val="24"/>
        </w:rPr>
      </w:pPr>
      <w:r>
        <w:rPr>
          <w:sz w:val="24"/>
          <w:szCs w:val="24"/>
        </w:rPr>
        <w:t>SNP – Single nucleotide polymorphism</w:t>
      </w:r>
    </w:p>
    <w:p w14:paraId="29103710" w14:textId="6025809D" w:rsidR="00F23B47" w:rsidRDefault="00F23B47" w:rsidP="00704D76">
      <w:pPr>
        <w:pStyle w:val="Overskrift3"/>
        <w:spacing w:line="360" w:lineRule="auto"/>
        <w:jc w:val="both"/>
      </w:pPr>
      <w:bookmarkStart w:id="2" w:name="_Toc93326798"/>
      <w:r>
        <w:lastRenderedPageBreak/>
        <w:t xml:space="preserve">1. </w:t>
      </w:r>
      <w:r w:rsidR="00DC43C4">
        <w:t>Introduction</w:t>
      </w:r>
      <w:bookmarkEnd w:id="2"/>
    </w:p>
    <w:p w14:paraId="46C83257" w14:textId="1631A690" w:rsidR="008A49B9" w:rsidRDefault="007874FB" w:rsidP="00704D76">
      <w:pPr>
        <w:spacing w:line="360" w:lineRule="auto"/>
        <w:jc w:val="both"/>
        <w:rPr>
          <w:sz w:val="24"/>
          <w:szCs w:val="24"/>
        </w:rPr>
      </w:pPr>
      <w:r w:rsidRPr="007874FB">
        <w:rPr>
          <w:sz w:val="24"/>
          <w:szCs w:val="24"/>
        </w:rPr>
        <w:t xml:space="preserve">Crohn disease (CD) </w:t>
      </w:r>
      <w:r>
        <w:rPr>
          <w:sz w:val="24"/>
          <w:szCs w:val="24"/>
        </w:rPr>
        <w:t>is a chronic inflammatory bowel disease</w:t>
      </w:r>
      <w:r w:rsidR="0027637D">
        <w:rPr>
          <w:sz w:val="24"/>
          <w:szCs w:val="24"/>
        </w:rPr>
        <w:t xml:space="preserve"> </w:t>
      </w:r>
      <w:r w:rsidR="0027637D" w:rsidRPr="00B04297">
        <w:rPr>
          <w:sz w:val="24"/>
          <w:szCs w:val="24"/>
        </w:rPr>
        <w:t>(IBD)</w:t>
      </w:r>
      <w:r>
        <w:rPr>
          <w:sz w:val="24"/>
          <w:szCs w:val="24"/>
        </w:rPr>
        <w:t xml:space="preserve">. The disorder is characterised by </w:t>
      </w:r>
      <w:r w:rsidRPr="00B04297">
        <w:rPr>
          <w:sz w:val="24"/>
          <w:szCs w:val="24"/>
        </w:rPr>
        <w:t>relapsing and remitting episodes</w:t>
      </w:r>
      <w:r>
        <w:rPr>
          <w:sz w:val="24"/>
          <w:szCs w:val="24"/>
        </w:rPr>
        <w:t xml:space="preserve"> of inflammation of the </w:t>
      </w:r>
      <w:r w:rsidR="00CA4AE7" w:rsidRPr="00B04297">
        <w:rPr>
          <w:sz w:val="24"/>
          <w:szCs w:val="24"/>
        </w:rPr>
        <w:t xml:space="preserve">gastrointestinal </w:t>
      </w:r>
      <w:r w:rsidR="00CA4AE7">
        <w:rPr>
          <w:sz w:val="24"/>
          <w:szCs w:val="24"/>
        </w:rPr>
        <w:t>(</w:t>
      </w:r>
      <w:r>
        <w:rPr>
          <w:sz w:val="24"/>
          <w:szCs w:val="24"/>
        </w:rPr>
        <w:t>GI</w:t>
      </w:r>
      <w:r w:rsidR="00CA4AE7">
        <w:rPr>
          <w:sz w:val="24"/>
          <w:szCs w:val="24"/>
        </w:rPr>
        <w:t>)</w:t>
      </w:r>
      <w:r>
        <w:rPr>
          <w:sz w:val="24"/>
          <w:szCs w:val="24"/>
        </w:rPr>
        <w:t xml:space="preserve"> tract, as well as multiple extraintestinal manifestations and malabsorption. </w:t>
      </w:r>
      <w:r w:rsidR="008A49B9" w:rsidRPr="00B04297">
        <w:rPr>
          <w:sz w:val="24"/>
          <w:szCs w:val="24"/>
        </w:rPr>
        <w:t xml:space="preserve">The aetiology and pathophysiology of </w:t>
      </w:r>
      <w:r w:rsidR="008A49B9">
        <w:rPr>
          <w:sz w:val="24"/>
          <w:szCs w:val="24"/>
        </w:rPr>
        <w:t>CD</w:t>
      </w:r>
      <w:r w:rsidR="008A49B9" w:rsidRPr="00B04297">
        <w:rPr>
          <w:sz w:val="24"/>
          <w:szCs w:val="24"/>
        </w:rPr>
        <w:t xml:space="preserve"> is multifactorial</w:t>
      </w:r>
      <w:r w:rsidR="008A49B9">
        <w:rPr>
          <w:sz w:val="24"/>
          <w:szCs w:val="24"/>
        </w:rPr>
        <w:t xml:space="preserve">, </w:t>
      </w:r>
      <w:r w:rsidR="008A49B9" w:rsidRPr="00B04297">
        <w:rPr>
          <w:sz w:val="24"/>
          <w:szCs w:val="24"/>
        </w:rPr>
        <w:t>complex</w:t>
      </w:r>
      <w:r w:rsidR="008A49B9">
        <w:rPr>
          <w:sz w:val="24"/>
          <w:szCs w:val="24"/>
        </w:rPr>
        <w:t>, and not completely known</w:t>
      </w:r>
      <w:r w:rsidR="008A49B9" w:rsidRPr="00B04297">
        <w:rPr>
          <w:sz w:val="24"/>
          <w:szCs w:val="24"/>
        </w:rPr>
        <w:t xml:space="preserve">. </w:t>
      </w:r>
      <w:r w:rsidR="001877B6">
        <w:rPr>
          <w:sz w:val="24"/>
          <w:szCs w:val="24"/>
        </w:rPr>
        <w:t xml:space="preserve">Thanks to large amounts of well-designed research and studies, multiple pharmacological treatment options for CD exist, which have improved the prognosis significantly. The incidence of CD is higher in Western societies, and the incidence is increasing in </w:t>
      </w:r>
      <w:r w:rsidR="00C03EA3">
        <w:rPr>
          <w:sz w:val="24"/>
          <w:szCs w:val="24"/>
        </w:rPr>
        <w:t xml:space="preserve">developing </w:t>
      </w:r>
      <w:r w:rsidR="001877B6">
        <w:rPr>
          <w:sz w:val="24"/>
          <w:szCs w:val="24"/>
        </w:rPr>
        <w:t xml:space="preserve">countries. There are </w:t>
      </w:r>
      <w:r w:rsidR="00C03EA3">
        <w:rPr>
          <w:sz w:val="24"/>
          <w:szCs w:val="24"/>
        </w:rPr>
        <w:t>both genetic and environmental risk factors.</w:t>
      </w:r>
    </w:p>
    <w:p w14:paraId="1C215583" w14:textId="7BC2A868" w:rsidR="001877B6" w:rsidRDefault="00C03EA3" w:rsidP="00704D76">
      <w:pPr>
        <w:spacing w:line="360" w:lineRule="auto"/>
        <w:jc w:val="both"/>
        <w:rPr>
          <w:sz w:val="24"/>
          <w:szCs w:val="24"/>
        </w:rPr>
      </w:pPr>
      <w:r>
        <w:rPr>
          <w:sz w:val="24"/>
          <w:szCs w:val="24"/>
        </w:rPr>
        <w:t xml:space="preserve">It’s known that environmental risk factors related to diet and nutrition affects the risk of developing CD. </w:t>
      </w:r>
      <w:r w:rsidR="00FF0D75">
        <w:rPr>
          <w:sz w:val="24"/>
          <w:szCs w:val="24"/>
        </w:rPr>
        <w:t>It’s also known that the microbiome is altered in CD patients</w:t>
      </w:r>
      <w:r w:rsidR="00F31B7C">
        <w:rPr>
          <w:sz w:val="24"/>
          <w:szCs w:val="24"/>
        </w:rPr>
        <w:t>, and that interactions between the microbiome and immune system play a major role in the pathophysiology</w:t>
      </w:r>
      <w:r w:rsidR="00FF0D75">
        <w:rPr>
          <w:sz w:val="24"/>
          <w:szCs w:val="24"/>
        </w:rPr>
        <w:t xml:space="preserve">. </w:t>
      </w:r>
      <w:r w:rsidR="00AB6D33">
        <w:rPr>
          <w:sz w:val="24"/>
          <w:szCs w:val="24"/>
        </w:rPr>
        <w:t xml:space="preserve">Many CD patients report a </w:t>
      </w:r>
      <w:r w:rsidR="00325304">
        <w:rPr>
          <w:sz w:val="24"/>
          <w:szCs w:val="24"/>
        </w:rPr>
        <w:t>subjective</w:t>
      </w:r>
      <w:r w:rsidR="00AB6D33">
        <w:rPr>
          <w:sz w:val="24"/>
          <w:szCs w:val="24"/>
        </w:rPr>
        <w:t xml:space="preserve"> correlation between certain dietary patterns or food and the risk of relapse. </w:t>
      </w:r>
      <w:r>
        <w:rPr>
          <w:sz w:val="24"/>
          <w:szCs w:val="24"/>
        </w:rPr>
        <w:t xml:space="preserve">These facts </w:t>
      </w:r>
      <w:r w:rsidR="00FF0D75">
        <w:rPr>
          <w:sz w:val="24"/>
          <w:szCs w:val="24"/>
        </w:rPr>
        <w:t xml:space="preserve">kept in mind, it’s logical to expect diet and nutrition to affect the prognosis of the disease as well, possibly </w:t>
      </w:r>
      <w:r w:rsidR="00C63E49">
        <w:rPr>
          <w:sz w:val="24"/>
          <w:szCs w:val="24"/>
        </w:rPr>
        <w:t>by directly affecting the microbiome</w:t>
      </w:r>
      <w:r w:rsidR="00FF0D75">
        <w:rPr>
          <w:sz w:val="24"/>
          <w:szCs w:val="24"/>
        </w:rPr>
        <w:t>. This paper will seek to summarise the current scientific data on the role of diet and nutrition in the microbiome and management of Crohn disease.</w:t>
      </w:r>
    </w:p>
    <w:p w14:paraId="0A764BC5" w14:textId="45805E08" w:rsidR="001E5203" w:rsidRDefault="001E5203" w:rsidP="00704D76">
      <w:pPr>
        <w:pStyle w:val="Overskrift3"/>
        <w:spacing w:line="360" w:lineRule="auto"/>
        <w:jc w:val="both"/>
      </w:pPr>
      <w:bookmarkStart w:id="3" w:name="_Toc93326799"/>
      <w:r>
        <w:t>2. Background</w:t>
      </w:r>
      <w:bookmarkEnd w:id="3"/>
    </w:p>
    <w:p w14:paraId="5D23D976" w14:textId="17FDD12A" w:rsidR="001E5203" w:rsidRDefault="001E5203" w:rsidP="00704D76">
      <w:pPr>
        <w:pStyle w:val="Overskrift4"/>
        <w:jc w:val="both"/>
      </w:pPr>
      <w:bookmarkStart w:id="4" w:name="_Toc93326800"/>
      <w:r>
        <w:t>2.1. Clinical features of Crohn disease</w:t>
      </w:r>
      <w:bookmarkEnd w:id="4"/>
    </w:p>
    <w:p w14:paraId="435A6619" w14:textId="7E081D27" w:rsidR="001E5203" w:rsidRDefault="001E5203" w:rsidP="00704D76">
      <w:pPr>
        <w:spacing w:line="360" w:lineRule="auto"/>
        <w:jc w:val="both"/>
        <w:rPr>
          <w:sz w:val="24"/>
          <w:szCs w:val="24"/>
        </w:rPr>
      </w:pPr>
      <w:r w:rsidRPr="00B04297">
        <w:rPr>
          <w:sz w:val="24"/>
          <w:szCs w:val="24"/>
        </w:rPr>
        <w:t>Crohn disease is one of the two main manifestations of inflammatory bowel disease, the other being ulcerative colitis (UC). CD is a chronic inflammatory condition characterised by relapsing and remitting episodes of transmural inflammation, as well as “skip lesions”, segments of normal-appearing bowel interrupted by areas of disease.</w:t>
      </w:r>
      <w:r w:rsidRPr="00B04297">
        <w:rPr>
          <w:sz w:val="24"/>
          <w:szCs w:val="24"/>
        </w:rPr>
        <w:fldChar w:fldCharType="begin"/>
      </w:r>
      <w:r w:rsidRPr="00B04297">
        <w:rPr>
          <w:sz w:val="24"/>
          <w:szCs w:val="24"/>
        </w:rPr>
        <w:instrText xml:space="preserve"> ADDIN ZOTERO_ITEM CSL_CITATION {"citationID":"nNRMicJ3","properties":{"formattedCitation":"\\super 1\\nosupersub{}","plainCitation":"1","noteIndex":0},"citationItems":[{"id":16,"uris":["http://zotero.org/users/local/9pHoSXqz/items/PQVLXR2Q"],"uri":["http://zotero.org/users/local/9pHoSXqz/items/PQVLXR2Q"],"itemData":{"id":16,"type":"article-journal","container-title":"Gut","DOI":"10.1136/gut.2005.082909","ISSN":"0017-5749","issue":"6","journalAbbreviation":"Gut","language":"en","page":"749-753","source":"DOI.org (Crossref)","title":"The Montreal classification of inflammatory bowel disease: controversies, consensus, and implications","title-short":"The Montreal classification of inflammatory bowel disease","volume":"55","author":[{"family":"Satsangi","given":"J"}],"issued":{"date-parts":[["2006",6,1]]}}}],"schema":"https://github.com/citation-style-language/schema/raw/master/csl-citation.json"} </w:instrText>
      </w:r>
      <w:r w:rsidRPr="00B04297">
        <w:rPr>
          <w:sz w:val="24"/>
          <w:szCs w:val="24"/>
        </w:rPr>
        <w:fldChar w:fldCharType="separate"/>
      </w:r>
      <w:r w:rsidRPr="00B04297">
        <w:rPr>
          <w:rFonts w:ascii="Calibri" w:hAnsi="Calibri" w:cs="Calibri"/>
          <w:sz w:val="24"/>
          <w:szCs w:val="28"/>
          <w:vertAlign w:val="superscript"/>
        </w:rPr>
        <w:t>1</w:t>
      </w:r>
      <w:r w:rsidRPr="00B04297">
        <w:rPr>
          <w:sz w:val="24"/>
          <w:szCs w:val="24"/>
        </w:rPr>
        <w:fldChar w:fldCharType="end"/>
      </w:r>
      <w:r w:rsidRPr="00B04297">
        <w:rPr>
          <w:sz w:val="24"/>
          <w:szCs w:val="24"/>
        </w:rPr>
        <w:t xml:space="preserve"> Although any part of the GI tract may be involved, the </w:t>
      </w:r>
      <w:r>
        <w:rPr>
          <w:sz w:val="24"/>
          <w:szCs w:val="24"/>
        </w:rPr>
        <w:t xml:space="preserve">distal </w:t>
      </w:r>
      <w:r w:rsidRPr="00B04297">
        <w:rPr>
          <w:sz w:val="24"/>
          <w:szCs w:val="24"/>
        </w:rPr>
        <w:t>ileum and proximal colon are most commonly involved.</w:t>
      </w:r>
    </w:p>
    <w:p w14:paraId="7E0BABF0" w14:textId="77777777" w:rsidR="001E5203" w:rsidRDefault="001E5203" w:rsidP="00704D76">
      <w:pPr>
        <w:spacing w:line="360" w:lineRule="auto"/>
        <w:jc w:val="both"/>
        <w:rPr>
          <w:sz w:val="24"/>
          <w:szCs w:val="24"/>
        </w:rPr>
      </w:pPr>
      <w:r w:rsidRPr="00DC43C4">
        <w:rPr>
          <w:sz w:val="24"/>
          <w:szCs w:val="24"/>
        </w:rPr>
        <w:lastRenderedPageBreak/>
        <w:t xml:space="preserve">The cardinal </w:t>
      </w:r>
      <w:r>
        <w:rPr>
          <w:sz w:val="24"/>
          <w:szCs w:val="24"/>
        </w:rPr>
        <w:t>clinical features of Crohn disease include abdominal pain, diarrhoea, fatigue, and weight loss, but the disease can cause a large variety of symptoms.</w:t>
      </w:r>
      <w:r>
        <w:rPr>
          <w:sz w:val="24"/>
          <w:szCs w:val="24"/>
        </w:rPr>
        <w:fldChar w:fldCharType="begin"/>
      </w:r>
      <w:r>
        <w:rPr>
          <w:sz w:val="24"/>
          <w:szCs w:val="24"/>
        </w:rPr>
        <w:instrText xml:space="preserve"> ADDIN ZOTERO_ITEM CSL_CITATION {"citationID":"bKdlGEg3","properties":{"formattedCitation":"\\super 2\\nosupersub{}","plainCitation":"2","noteIndex":0},"citationItems":[{"id":188,"uris":["http://zotero.org/users/local/9pHoSXqz/items/V6EYTPDQ"],"uri":["http://zotero.org/users/local/9pHoSXqz/items/V6EYTPDQ"],"itemData":{"id":188,"type":"article-journal","abstract":"Crohn's disease is an idiopathic inflammatory disorder of unknown etiology with genetic, immunologic, and environmental influences. The incidence of Crohn's disease has steadily increased over the past several decades. The diagnosis and treatment of patients with Crohn's disease has evolved since the last practice guideline was published. These guidelines represent the official practice recommendations of the American College of Gastroenterology and were developed under the auspices of the Practice Parameters Committee for the management of adult patients with Crohn's disease. These guidelines are established for clinical practice with the intent of suggesting preferable approaches to particular medical problems as established by interpretation and collation of scientifically valid research, derived from extensive review of published literature. When exercising clinical judgment, health-care providers should incorporate this guideline along with patient's needs, desires, and their values in order to fully and appropriately care for patients with Crohn's disease. This guideline is intended to be flexible, not necessarily indicating the only acceptable approach, and should be distinguished from standards of care that are inflexible and rarely violated. To evaluate the level of evidence and strength of recommendations, we used the Grading of Recommendations Assessment, Development, and Evaluation (GRADE) system. The Committee reviews guidelines in depth, with participation from experienced clinicians and others in related fields. The final recommendations are based on the data available at the time of the production of the document and may be updated with pertinent scientific developments at a later time.","container-title":"The American Journal of Gastroenterology","DOI":"10.1038/ajg.2018.27","ISSN":"1572-0241","issue":"4","journalAbbreviation":"Am J Gastroenterol","language":"eng","note":"PMID: 29610508","page":"481-517","source":"PubMed","title":"ACG Clinical Guideline: Management of Crohn's Disease in Adults","title-short":"ACG Clinical Guideline","volume":"113","author":[{"family":"Lichtenstein","given":"Gary R."},{"family":"Loftus","given":"Edward V."},{"family":"Isaacs","given":"Kim L."},{"family":"Regueiro","given":"Miguel D."},{"family":"Gerson","given":"Lauren B."},{"family":"Sands","given":"Bruce E."}],"issued":{"date-parts":[["2018",4]]}}}],"schema":"https://github.com/citation-style-language/schema/raw/master/csl-citation.json"} </w:instrText>
      </w:r>
      <w:r>
        <w:rPr>
          <w:sz w:val="24"/>
          <w:szCs w:val="24"/>
        </w:rPr>
        <w:fldChar w:fldCharType="separate"/>
      </w:r>
      <w:r w:rsidRPr="00DC43C4">
        <w:rPr>
          <w:rFonts w:ascii="Calibri" w:hAnsi="Calibri" w:cs="Calibri"/>
          <w:sz w:val="24"/>
          <w:szCs w:val="24"/>
          <w:vertAlign w:val="superscript"/>
        </w:rPr>
        <w:t>2</w:t>
      </w:r>
      <w:r>
        <w:rPr>
          <w:sz w:val="24"/>
          <w:szCs w:val="24"/>
        </w:rPr>
        <w:fldChar w:fldCharType="end"/>
      </w:r>
      <w:r>
        <w:rPr>
          <w:sz w:val="24"/>
          <w:szCs w:val="24"/>
        </w:rPr>
        <w:t xml:space="preserve"> The abdominal pain frequently has a crampy characteristic, and it’s location frequently corresponds to the affected part of the GI tract. With the most frequently affected area being the distal ileum and proximal colon, the abdominal pain is usually located in the right lower quadrant. Bowel symptoms frequently fluctuate and can contain gross blood if the colon is largely affected.</w:t>
      </w:r>
    </w:p>
    <w:p w14:paraId="20D014BE" w14:textId="77777777" w:rsidR="001E5203" w:rsidRPr="00F57E1D" w:rsidRDefault="001E5203" w:rsidP="00704D76">
      <w:pPr>
        <w:spacing w:line="360" w:lineRule="auto"/>
        <w:jc w:val="both"/>
        <w:rPr>
          <w:sz w:val="28"/>
          <w:szCs w:val="28"/>
        </w:rPr>
      </w:pPr>
      <w:r>
        <w:rPr>
          <w:sz w:val="24"/>
          <w:szCs w:val="24"/>
        </w:rPr>
        <w:t>Transmural inflammation may give rise to fistulas, which can cause symptoms on their own, like recurrent urinary tract infections in case of enterovesical fistulas, passage of gas through the vagina in case of enterovaginal fistulas, and excretion of bowel contents to the surface of the skin in case of enterocutaneous fistulas.</w:t>
      </w:r>
    </w:p>
    <w:p w14:paraId="69B88EEB" w14:textId="77777777" w:rsidR="001E5203" w:rsidRDefault="001E5203" w:rsidP="00704D76">
      <w:pPr>
        <w:spacing w:line="360" w:lineRule="auto"/>
        <w:jc w:val="both"/>
        <w:rPr>
          <w:sz w:val="24"/>
          <w:szCs w:val="24"/>
        </w:rPr>
      </w:pPr>
      <w:r w:rsidRPr="00F57E1D">
        <w:rPr>
          <w:sz w:val="24"/>
          <w:szCs w:val="24"/>
        </w:rPr>
        <w:t>Malabsorption frequently</w:t>
      </w:r>
      <w:r>
        <w:rPr>
          <w:sz w:val="24"/>
          <w:szCs w:val="24"/>
        </w:rPr>
        <w:t xml:space="preserve"> contributes to the clinical features of people with small bowel CD. Small bowel inflammation may lead to protein malnutrition, calorie malnutrition, hypocalcaemia, and vitamin deficiency, among others. B12 deficiency is especially characteristic.</w:t>
      </w:r>
    </w:p>
    <w:p w14:paraId="684FBBAA" w14:textId="59502EC9" w:rsidR="001E5203" w:rsidRPr="00F57E1D" w:rsidRDefault="001E5203" w:rsidP="00704D76">
      <w:pPr>
        <w:spacing w:line="360" w:lineRule="auto"/>
        <w:jc w:val="both"/>
        <w:rPr>
          <w:sz w:val="24"/>
          <w:szCs w:val="24"/>
        </w:rPr>
      </w:pPr>
      <w:r>
        <w:rPr>
          <w:sz w:val="24"/>
          <w:szCs w:val="24"/>
        </w:rPr>
        <w:t>Extraintestinal manifestations are not unusual in persons with CD.</w:t>
      </w:r>
      <w:r w:rsidRPr="00AA656D">
        <w:rPr>
          <w:sz w:val="24"/>
          <w:szCs w:val="24"/>
        </w:rPr>
        <w:t xml:space="preserve"> </w:t>
      </w:r>
      <w:r>
        <w:rPr>
          <w:sz w:val="24"/>
          <w:szCs w:val="24"/>
        </w:rPr>
        <w:t>The most common extraintestinal manifestations include arthritis or arthropathy, eye disorders like uveitis, skin disorders like erythema nodosum and pyoderma gangrenosum, primary sclerosing cholangitis, renal stones, metabolic bone disease, among others.</w:t>
      </w:r>
      <w:r>
        <w:rPr>
          <w:sz w:val="24"/>
          <w:szCs w:val="24"/>
        </w:rPr>
        <w:fldChar w:fldCharType="begin"/>
      </w:r>
      <w:r>
        <w:rPr>
          <w:sz w:val="24"/>
          <w:szCs w:val="24"/>
        </w:rPr>
        <w:instrText xml:space="preserve"> ADDIN ZOTERO_ITEM CSL_CITATION {"citationID":"k5jj0bAd","properties":{"formattedCitation":"\\super 3\\nosupersub{}","plainCitation":"3","noteIndex":0},"citationItems":[{"id":190,"uris":["http://zotero.org/users/local/9pHoSXqz/items/D4KLYVVU"],"uri":["http://zotero.org/users/local/9pHoSXqz/items/D4KLYVVU"],"itemData":{"id":190,"type":"article-journal","abstract":"BACKGROUND: Crohn's disease (CD) is a chronic, progressive, destructive disease. Numerous intestinal and extraintestinal complications and manifestations can occur during its clinical course. This literature review summarizes our current knowledge of the long-term complications, extraintestinal complications, and mortality in CD in adults as reported in population-based studies that include long-term follow-up results.\nMETHODS: A literature search of English and non-English language publications listed in the electronic databases of Medline (source PubMed, 1935 to July, 2009).\nRESULTS: The relative risk of incident fractures is increased in CD patients by ≈30%-40%. These patients have also have a 3-fold increased risk of deep venous thrombosis and pulmonary embolism. A variety of extraintestinal manifestations (primary sclerosing cholangitis, ankylosing spondylitis, iritis/uveitis, pyoderma gangrenosum, erythema nodosum) and diseases (asthma, bronchitis, pericarditis, psoriasis, rheumatoid arthritis, and multiple sclerosis) are associated with CD. The risks of colorectal and small bowel cancers relative to the general population are 1.4-1.9 and 21.1-27.1, respectively. A slightly increased risk of lymphoma, irrespective of medication use, has been reported in a recent meta-analysis of population-based studies. Overall mortality is slightly increased in CD, with a standardized mortality ratio of 1.4.\nCONCLUSIONS: CD is frequently associated with disease complications and extraintestinal conditions. Whether the impact of changing treatment paradigms with increased use of immunosuppressives and biologic agents can reduce disease complications and associated conditions is unknown.","container-title":"Inflammatory Bowel Diseases","DOI":"10.1002/ibd.21417","ISSN":"1536-4844","issue":"1","journalAbbreviation":"Inflamm Bowel Dis","language":"eng","note":"PMID: 20725943","page":"471-478","source":"PubMed","title":"Long-term complications, extraintestinal manifestations, and mortality in adult Crohn's disease in population-based cohorts","volume":"17","author":[{"family":"Peyrin-Biroulet","given":"Laurent"},{"family":"Loftus","given":"Edward V."},{"family":"Colombel","given":"Jean-Frederic"},{"family":"Sandborn","given":"William J."}],"issued":{"date-parts":[["2011",1]]}}}],"schema":"https://github.com/citation-style-language/schema/raw/master/csl-citation.json"}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3</w:t>
      </w:r>
      <w:r>
        <w:rPr>
          <w:sz w:val="24"/>
          <w:szCs w:val="24"/>
        </w:rPr>
        <w:fldChar w:fldCharType="end"/>
      </w:r>
      <w:r>
        <w:rPr>
          <w:sz w:val="24"/>
          <w:szCs w:val="24"/>
        </w:rPr>
        <w:t xml:space="preserve"> </w:t>
      </w:r>
      <w:r w:rsidR="00DF1042">
        <w:rPr>
          <w:sz w:val="24"/>
          <w:szCs w:val="24"/>
        </w:rPr>
        <w:t>Most of t</w:t>
      </w:r>
      <w:r>
        <w:rPr>
          <w:sz w:val="24"/>
          <w:szCs w:val="24"/>
        </w:rPr>
        <w:t>hese complications are usually related to the activity of the Crohn disease and therefore occur less frequently in those with well-controlled disease.</w:t>
      </w:r>
    </w:p>
    <w:p w14:paraId="55DF50FB" w14:textId="6D0E494F" w:rsidR="001E5203" w:rsidRDefault="001E5203" w:rsidP="00704D76">
      <w:pPr>
        <w:pStyle w:val="Overskrift4"/>
        <w:jc w:val="both"/>
      </w:pPr>
      <w:bookmarkStart w:id="5" w:name="_Toc93326801"/>
      <w:r>
        <w:t>2.2. Incidence and prevalence of Crohn disease</w:t>
      </w:r>
      <w:bookmarkEnd w:id="5"/>
    </w:p>
    <w:p w14:paraId="7332A06C" w14:textId="387FA9C2" w:rsidR="001E5203" w:rsidRPr="00B04297" w:rsidRDefault="001E5203" w:rsidP="00704D76">
      <w:pPr>
        <w:spacing w:line="360" w:lineRule="auto"/>
        <w:jc w:val="both"/>
        <w:rPr>
          <w:sz w:val="24"/>
          <w:szCs w:val="24"/>
        </w:rPr>
      </w:pPr>
      <w:r w:rsidRPr="00B04297">
        <w:rPr>
          <w:sz w:val="24"/>
          <w:szCs w:val="24"/>
        </w:rPr>
        <w:t>IBD, including CD, generally have a higher incidence and prevalence in developed nations and an increasing incidence and prevalence in nations which are becoming increasingly westernized. Within Europe, countries like Norway, Sweden and Hungary have the highest prevalence of CD, at 0,26%, 0,19%, and 0,20%</w:t>
      </w:r>
      <w:r>
        <w:rPr>
          <w:sz w:val="24"/>
          <w:szCs w:val="24"/>
        </w:rPr>
        <w:t>, respectively</w:t>
      </w:r>
      <w:r w:rsidRPr="00B04297">
        <w:rPr>
          <w:sz w:val="24"/>
          <w:szCs w:val="24"/>
        </w:rPr>
        <w:t>.</w:t>
      </w:r>
      <w:r w:rsidRPr="00B04297">
        <w:rPr>
          <w:sz w:val="24"/>
          <w:szCs w:val="24"/>
        </w:rPr>
        <w:fldChar w:fldCharType="begin"/>
      </w:r>
      <w:r>
        <w:rPr>
          <w:sz w:val="24"/>
          <w:szCs w:val="24"/>
        </w:rPr>
        <w:instrText xml:space="preserve"> ADDIN ZOTERO_ITEM CSL_CITATION {"citationID":"2Oc1BYK1","properties":{"formattedCitation":"\\super 4,5\\nosupersub{}","plainCitation":"4,5","noteIndex":0},"citationItems":[{"id":3,"uris":["http://zotero.org/users/local/9pHoSXqz/items/EM5CLG69"],"uri":["http://zotero.org/users/local/9pHoSXqz/items/EM5CLG69"],"itemData":{"id":3,"type":"article-journal","abstract":"Background Inflammatory bowel disease is a global disease in the 21st century. We aimed to assess the changing incidence and prevalence of inflammatory bowel disease around the world.","container-title":"The Lancet","DOI":"10.1016/S0140-6736(17)32448-0","ISSN":"01406736","issue":"10114","journalAbbreviation":"The Lancet","language":"en","page":"2769-2778","source":"DOI.org (Crossref)","title":"Worldwide incidence and prevalence of inflammatory bowel disease in the 21st century: a systematic review of population-based studies","title-short":"Worldwide incidence and prevalence of inflammatory bowel disease in the 21st century","volume":"390","author":[{"family":"Ng","given":"Siew C"},{"family":"Shi","given":"Hai Yun"},{"family":"Hamidi","given":"Nima"},{"family":"Underwood","given":"Fox E"},{"family":"Tang","given":"Whitney"},{"family":"Benchimol","given":"Eric I"},{"family":"Panaccione","given":"Remo"},{"family":"Ghosh","given":"Subrata"},{"family":"Wu","given":"Justin C Y"},{"family":"Chan","given":"Francis K L"},{"family":"Sung","given":"Joseph J Y"},{"family":"Kaplan","given":"Gilaad G"}],"issued":{"date-parts":[["2017",12]]}}},{"id":18,"uris":["http://zotero.org/users/local/9pHoSXqz/items/GL52Q33C"],"uri":["http://zotero.org/users/local/9pHoSXqz/items/GL52Q33C"],"itemData":{"id":18,"type":"article-journal","container-title":"Alimentary Pharmacology &amp; Therapeutics","DOI":"10.1111/apt.12528","ISSN":"02692813","issue":"1","journalAbbreviation":"Aliment Pharmacol Ther","language":"en","page":"57-68","source":"DOI.org (Crossref)","title":"Nationwide prevalence of inflammatory bowel disease in Sweden: a population-based register study","title-short":"Nationwide prevalence of inflammatory bowel disease in Sweden","volume":"39","author":[{"family":"Büsch","given":"K."},{"family":"Ludvigsson","given":"J. F."},{"family":"Ekström-Smedby","given":"K."},{"family":"Ekbom","given":"A."},{"family":"Askling","given":"J."},{"family":"Neovius","given":"M."}],"issued":{"date-parts":[["2014",1]]}}}],"schema":"https://github.com/citation-style-language/schema/raw/master/csl-citation.json"}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4,5</w:t>
      </w:r>
      <w:r w:rsidRPr="00B04297">
        <w:rPr>
          <w:sz w:val="24"/>
          <w:szCs w:val="24"/>
        </w:rPr>
        <w:fldChar w:fldCharType="end"/>
      </w:r>
      <w:r w:rsidRPr="00B04297">
        <w:rPr>
          <w:sz w:val="24"/>
          <w:szCs w:val="24"/>
        </w:rPr>
        <w:t xml:space="preserve"> Croatia and Romania have the lowest </w:t>
      </w:r>
      <w:r w:rsidRPr="00747D57">
        <w:rPr>
          <w:sz w:val="24"/>
          <w:szCs w:val="24"/>
        </w:rPr>
        <w:t>prevalence</w:t>
      </w:r>
      <w:r>
        <w:rPr>
          <w:sz w:val="24"/>
          <w:szCs w:val="24"/>
        </w:rPr>
        <w:t xml:space="preserve">, at 0,0045% and 0,00151%, </w:t>
      </w:r>
      <w:r>
        <w:rPr>
          <w:sz w:val="24"/>
          <w:szCs w:val="24"/>
        </w:rPr>
        <w:lastRenderedPageBreak/>
        <w:t>respectively.</w:t>
      </w:r>
      <w:r>
        <w:rPr>
          <w:sz w:val="24"/>
          <w:szCs w:val="24"/>
        </w:rPr>
        <w:fldChar w:fldCharType="begin"/>
      </w:r>
      <w:r>
        <w:rPr>
          <w:sz w:val="24"/>
          <w:szCs w:val="24"/>
        </w:rPr>
        <w:instrText xml:space="preserve"> ADDIN ZOTERO_ITEM CSL_CITATION {"citationID":"M7j2O6qs","properties":{"formattedCitation":"\\super 4\\nosupersub{}","plainCitation":"4","noteIndex":0},"citationItems":[{"id":3,"uris":["http://zotero.org/users/local/9pHoSXqz/items/EM5CLG69"],"uri":["http://zotero.org/users/local/9pHoSXqz/items/EM5CLG69"],"itemData":{"id":3,"type":"article-journal","abstract":"Background Inflammatory bowel disease is a global disease in the 21st century. We aimed to assess the changing incidence and prevalence of inflammatory bowel disease around the world.","container-title":"The Lancet","DOI":"10.1016/S0140-6736(17)32448-0","ISSN":"01406736","issue":"10114","journalAbbreviation":"The Lancet","language":"en","page":"2769-2778","source":"DOI.org (Crossref)","title":"Worldwide incidence and prevalence of inflammatory bowel disease in the 21st century: a systematic review of population-based studies","title-short":"Worldwide incidence and prevalence of inflammatory bowel disease in the 21st century","volume":"390","author":[{"family":"Ng","given":"Siew C"},{"family":"Shi","given":"Hai Yun"},{"family":"Hamidi","given":"Nima"},{"family":"Underwood","given":"Fox E"},{"family":"Tang","given":"Whitney"},{"family":"Benchimol","given":"Eric I"},{"family":"Panaccione","given":"Remo"},{"family":"Ghosh","given":"Subrata"},{"family":"Wu","given":"Justin C Y"},{"family":"Chan","given":"Francis K L"},{"family":"Sung","given":"Joseph J Y"},{"family":"Kaplan","given":"Gilaad G"}],"issued":{"date-parts":[["2017",12]]}}}],"schema":"https://github.com/citation-style-language/schema/raw/master/csl-citation.json"}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4</w:t>
      </w:r>
      <w:r>
        <w:rPr>
          <w:sz w:val="24"/>
          <w:szCs w:val="24"/>
        </w:rPr>
        <w:fldChar w:fldCharType="end"/>
      </w:r>
      <w:r>
        <w:rPr>
          <w:sz w:val="24"/>
          <w:szCs w:val="24"/>
        </w:rPr>
        <w:t xml:space="preserve"> Since the 1990s, most studies on the incidence of Crohn disease and ulcerative colitis in Europe and North America show stable or decreasing incidence. This has been theorized to be the result of decreased exposure to </w:t>
      </w:r>
      <w:r w:rsidR="008A49B9">
        <w:rPr>
          <w:sz w:val="24"/>
          <w:szCs w:val="24"/>
        </w:rPr>
        <w:t xml:space="preserve">certain </w:t>
      </w:r>
      <w:r>
        <w:rPr>
          <w:sz w:val="24"/>
          <w:szCs w:val="24"/>
        </w:rPr>
        <w:t>environmental risk factors in these areas, like smoking.</w:t>
      </w:r>
    </w:p>
    <w:p w14:paraId="78413702" w14:textId="77777777" w:rsidR="001E5203" w:rsidRPr="00B04297" w:rsidRDefault="001E5203" w:rsidP="00704D76">
      <w:pPr>
        <w:spacing w:line="360" w:lineRule="auto"/>
        <w:jc w:val="both"/>
        <w:rPr>
          <w:sz w:val="24"/>
          <w:szCs w:val="24"/>
        </w:rPr>
      </w:pPr>
      <w:r w:rsidRPr="00B04297">
        <w:rPr>
          <w:sz w:val="24"/>
          <w:szCs w:val="24"/>
        </w:rPr>
        <w:t xml:space="preserve">The incidence rates for both CD and UC are highest among the second to fourth </w:t>
      </w:r>
      <w:r w:rsidRPr="00361598">
        <w:rPr>
          <w:sz w:val="24"/>
          <w:szCs w:val="24"/>
        </w:rPr>
        <w:t>decades of life.</w:t>
      </w:r>
      <w:r w:rsidRPr="00361598">
        <w:rPr>
          <w:sz w:val="24"/>
          <w:szCs w:val="24"/>
        </w:rPr>
        <w:fldChar w:fldCharType="begin"/>
      </w:r>
      <w:r>
        <w:rPr>
          <w:sz w:val="24"/>
          <w:szCs w:val="24"/>
        </w:rPr>
        <w:instrText xml:space="preserve"> ADDIN ZOTERO_ITEM CSL_CITATION {"citationID":"SYRIowLa","properties":{"formattedCitation":"\\super 6\\nosupersub{}","plainCitation":"6","noteIndex":0},"citationItems":[{"id":22,"uris":["http://zotero.org/users/local/9pHoSXqz/items/Y7LIKCGK"],"uri":["http://zotero.org/users/local/9pHoSXqz/items/Y7LIKCGK"],"itemData":{"id":22,"type":"article-journal","container-title":"Gastroenterology","DOI":"10.1053/j.gastro.2011.10.001","ISSN":"00165085","issue":"1","journalAbbreviation":"Gastroenterology","language":"en","page":"46-54.e42","source":"DOI.org (Crossref)","title":"Increasing Incidence and Prevalence of the Inflammatory Bowel Diseases With Time, Based on Systematic Review","volume":"142","author":[{"family":"Molodecky","given":"Natalie A."},{"family":"Soon","given":"Ing Shian"},{"family":"Rabi","given":"Doreen M."},{"family":"Ghali","given":"William A."},{"family":"Ferris","given":"Mollie"},{"family":"Chernoff","given":"Greg"},{"family":"Benchimol","given":"Eric I."},{"family":"Panaccione","given":"Remo"},{"family":"Ghosh","given":"Subrata"},{"family":"Barkema","given":"Herman W."},{"family":"Kaplan","given":"Gilaad G."}],"issued":{"date-parts":[["2012",1]]}}}],"schema":"https://github.com/citation-style-language/schema/raw/master/csl-citation.json"} </w:instrText>
      </w:r>
      <w:r w:rsidRPr="00361598">
        <w:rPr>
          <w:sz w:val="24"/>
          <w:szCs w:val="24"/>
        </w:rPr>
        <w:fldChar w:fldCharType="separate"/>
      </w:r>
      <w:r w:rsidRPr="00F57E1D">
        <w:rPr>
          <w:rFonts w:ascii="Calibri" w:hAnsi="Calibri" w:cs="Calibri"/>
          <w:sz w:val="24"/>
          <w:szCs w:val="24"/>
          <w:vertAlign w:val="superscript"/>
        </w:rPr>
        <w:t>6</w:t>
      </w:r>
      <w:r w:rsidRPr="00361598">
        <w:rPr>
          <w:sz w:val="24"/>
          <w:szCs w:val="24"/>
        </w:rPr>
        <w:fldChar w:fldCharType="end"/>
      </w:r>
      <w:r w:rsidRPr="00B04297">
        <w:rPr>
          <w:sz w:val="24"/>
          <w:szCs w:val="24"/>
        </w:rPr>
        <w:t xml:space="preserve"> </w:t>
      </w:r>
      <w:r>
        <w:rPr>
          <w:sz w:val="24"/>
          <w:szCs w:val="24"/>
        </w:rPr>
        <w:t>According to one study from Minnesota, USA, the median age of diagnosis for CD was 29,5 years, and the 20-29 age group had the highest incidence rate.</w:t>
      </w:r>
      <w:r>
        <w:rPr>
          <w:sz w:val="24"/>
          <w:szCs w:val="24"/>
        </w:rPr>
        <w:fldChar w:fldCharType="begin"/>
      </w:r>
      <w:r>
        <w:rPr>
          <w:sz w:val="24"/>
          <w:szCs w:val="24"/>
        </w:rPr>
        <w:instrText xml:space="preserve"> ADDIN ZOTERO_ITEM CSL_CITATION {"citationID":"gu2SZehk","properties":{"formattedCitation":"\\super 7\\nosupersub{}","plainCitation":"7","noteIndex":0},"citationItems":[{"id":164,"uris":["http://zotero.org/users/local/9pHoSXqz/items/AAGQMTHE"],"uri":["http://zotero.org/users/local/9pHoSXqz/items/AAGQMTHE"],"itemData":{"id":164,"type":"article-journal","container-title":"Clinical Gastroenterology and Hepatology","DOI":"10.1016/j.cgh.2016.10.039","ISSN":"15423565","issue":"6","journalAbbreviation":"Clinical Gastroenterology and Hepatology","language":"en","page":"857-863","source":"DOI.org (Crossref)","title":"Incidence and Prevalence of Crohn’s Disease and Ulcerative Colitis in Olmsted County, Minnesota From 1970 Through 2010","volume":"15","author":[{"family":"Shivashankar","given":"Raina"},{"family":"Tremaine","given":"William J."},{"family":"Harmsen","given":"W. Scott"},{"family":"Loftus","given":"Edward V."}],"issued":{"date-parts":[["2017",6]]}}}],"schema":"https://github.com/citation-style-language/schema/raw/master/csl-citation.json"}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7</w:t>
      </w:r>
      <w:r>
        <w:rPr>
          <w:sz w:val="24"/>
          <w:szCs w:val="24"/>
        </w:rPr>
        <w:fldChar w:fldCharType="end"/>
      </w:r>
      <w:r>
        <w:rPr>
          <w:sz w:val="24"/>
          <w:szCs w:val="24"/>
        </w:rPr>
        <w:t xml:space="preserve"> Approximately two-thirds of CD cases were diagnosed under the age of 40 years.</w:t>
      </w:r>
    </w:p>
    <w:p w14:paraId="78E83797" w14:textId="442714E9" w:rsidR="001E5203" w:rsidRDefault="001E5203" w:rsidP="00704D76">
      <w:pPr>
        <w:pStyle w:val="Overskrift4"/>
        <w:jc w:val="both"/>
      </w:pPr>
      <w:bookmarkStart w:id="6" w:name="_Toc93326802"/>
      <w:r>
        <w:t>2.3. Environmental risk factors for Crohn disease</w:t>
      </w:r>
      <w:bookmarkEnd w:id="6"/>
    </w:p>
    <w:p w14:paraId="7FA9A366" w14:textId="62F8C751" w:rsidR="001E5203" w:rsidRPr="00B04297" w:rsidRDefault="001E5203" w:rsidP="00704D76">
      <w:pPr>
        <w:spacing w:line="360" w:lineRule="auto"/>
        <w:jc w:val="both"/>
        <w:rPr>
          <w:sz w:val="24"/>
          <w:szCs w:val="24"/>
        </w:rPr>
      </w:pPr>
      <w:r w:rsidRPr="00B04297">
        <w:rPr>
          <w:sz w:val="24"/>
          <w:szCs w:val="24"/>
        </w:rPr>
        <w:t>The aetiology and pathophysiology of IBD is multifactorial</w:t>
      </w:r>
      <w:r>
        <w:rPr>
          <w:sz w:val="24"/>
          <w:szCs w:val="24"/>
        </w:rPr>
        <w:t xml:space="preserve">, </w:t>
      </w:r>
      <w:r w:rsidRPr="00B04297">
        <w:rPr>
          <w:sz w:val="24"/>
          <w:szCs w:val="24"/>
        </w:rPr>
        <w:t>complex</w:t>
      </w:r>
      <w:r>
        <w:rPr>
          <w:sz w:val="24"/>
          <w:szCs w:val="24"/>
        </w:rPr>
        <w:t>, and not completely known</w:t>
      </w:r>
      <w:r w:rsidRPr="00B04297">
        <w:rPr>
          <w:sz w:val="24"/>
          <w:szCs w:val="24"/>
        </w:rPr>
        <w:t>. The global incidence of IBD has increased dramatically over the last half-century</w:t>
      </w:r>
      <w:r>
        <w:rPr>
          <w:sz w:val="24"/>
          <w:szCs w:val="24"/>
        </w:rPr>
        <w:t xml:space="preserve">, which </w:t>
      </w:r>
      <w:r w:rsidRPr="00B04297">
        <w:rPr>
          <w:sz w:val="24"/>
          <w:szCs w:val="24"/>
        </w:rPr>
        <w:t>clearly points to the role of environmental factors in the development of IBD.</w:t>
      </w:r>
      <w:r w:rsidRPr="00B04297">
        <w:rPr>
          <w:sz w:val="24"/>
          <w:szCs w:val="24"/>
        </w:rPr>
        <w:fldChar w:fldCharType="begin"/>
      </w:r>
      <w:r>
        <w:rPr>
          <w:sz w:val="24"/>
          <w:szCs w:val="24"/>
        </w:rPr>
        <w:instrText xml:space="preserve"> ADDIN ZOTERO_ITEM CSL_CITATION {"citationID":"oKiCQ0b1","properties":{"formattedCitation":"\\super 6\\nosupersub{}","plainCitation":"6","noteIndex":0},"citationItems":[{"id":22,"uris":["http://zotero.org/users/local/9pHoSXqz/items/Y7LIKCGK"],"uri":["http://zotero.org/users/local/9pHoSXqz/items/Y7LIKCGK"],"itemData":{"id":22,"type":"article-journal","container-title":"Gastroenterology","DOI":"10.1053/j.gastro.2011.10.001","ISSN":"00165085","issue":"1","journalAbbreviation":"Gastroenterology","language":"en","page":"46-54.e42","source":"DOI.org (Crossref)","title":"Increasing Incidence and Prevalence of the Inflammatory Bowel Diseases With Time, Based on Systematic Review","volume":"142","author":[{"family":"Molodecky","given":"Natalie A."},{"family":"Soon","given":"Ing Shian"},{"family":"Rabi","given":"Doreen M."},{"family":"Ghali","given":"William A."},{"family":"Ferris","given":"Mollie"},{"family":"Chernoff","given":"Greg"},{"family":"Benchimol","given":"Eric I."},{"family":"Panaccione","given":"Remo"},{"family":"Ghosh","given":"Subrata"},{"family":"Barkema","given":"Herman W."},{"family":"Kaplan","given":"Gilaad G."}],"issued":{"date-parts":[["2012",1]]}}}],"schema":"https://github.com/citation-style-language/schema/raw/master/csl-citation.json"}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6</w:t>
      </w:r>
      <w:r w:rsidRPr="00B04297">
        <w:rPr>
          <w:sz w:val="24"/>
          <w:szCs w:val="24"/>
        </w:rPr>
        <w:fldChar w:fldCharType="end"/>
      </w:r>
      <w:r w:rsidRPr="00B04297">
        <w:rPr>
          <w:sz w:val="24"/>
          <w:szCs w:val="24"/>
        </w:rPr>
        <w:t xml:space="preserve"> Many environmental risk factors for developing CD are known, including smoking, better living conditions during childhood, </w:t>
      </w:r>
      <w:r>
        <w:rPr>
          <w:sz w:val="24"/>
          <w:szCs w:val="24"/>
        </w:rPr>
        <w:t xml:space="preserve">not </w:t>
      </w:r>
      <w:r w:rsidR="00FB2BDC">
        <w:rPr>
          <w:sz w:val="24"/>
          <w:szCs w:val="24"/>
        </w:rPr>
        <w:t xml:space="preserve">having been </w:t>
      </w:r>
      <w:r>
        <w:rPr>
          <w:sz w:val="24"/>
          <w:szCs w:val="24"/>
        </w:rPr>
        <w:t>breastfe</w:t>
      </w:r>
      <w:r w:rsidR="00FB2BDC">
        <w:rPr>
          <w:sz w:val="24"/>
          <w:szCs w:val="24"/>
        </w:rPr>
        <w:t>d</w:t>
      </w:r>
      <w:r>
        <w:rPr>
          <w:sz w:val="24"/>
          <w:szCs w:val="24"/>
        </w:rPr>
        <w:t xml:space="preserve">, </w:t>
      </w:r>
      <w:r w:rsidRPr="00B04297">
        <w:rPr>
          <w:sz w:val="24"/>
          <w:szCs w:val="24"/>
        </w:rPr>
        <w:t>decreased physical activity, certain medications, certain infections, as well as various dietary factors.</w:t>
      </w:r>
      <w:r w:rsidRPr="00B04297">
        <w:rPr>
          <w:sz w:val="24"/>
          <w:szCs w:val="24"/>
        </w:rPr>
        <w:fldChar w:fldCharType="begin"/>
      </w:r>
      <w:r>
        <w:rPr>
          <w:sz w:val="24"/>
          <w:szCs w:val="24"/>
        </w:rPr>
        <w:instrText xml:space="preserve"> ADDIN ZOTERO_ITEM CSL_CITATION {"citationID":"d4ycum0F","properties":{"formattedCitation":"\\super 8\\uc0\\u8211{}12\\nosupersub{}","plainCitation":"8–12","noteIndex":0},"citationItems":[{"id":24,"uris":["http://zotero.org/users/local/9pHoSXqz/items/ID8V22GY"],"uri":["http://zotero.org/users/local/9pHoSXqz/items/ID8V22GY"],"itemData":{"id":24,"type":"article-journal","abstract":"OBJECTIVE: To assess whether there is a true effect of smoking on the 2 most prevalent forms of inflammatory bowel disease (IBD): Crohn disease (CD) and ulcerative colitis (UC).\nMETHODS: For this meta-analysis, we searched multiple health care databases, including MEDLINE and EMBASE (January 1980 to January 2006), to examine the relationship between smoking and IBD. Keywords searched included smoking, Inflammatory bowel disease, Crohn's disease, and ulcerative colitis. Data were abstracted using predefined inclusion and exclusion criteria. An odds ratio (OR) was recalculated for each study using the random-effects model, and a combined OR was calculated.\nRESULTS: A total of 245 articles were obtained through an electronic search of health care databases. Thirteen studies examined the relationship between UC and smoking, whereas 9 examined the relationship between CD and smoking. We found evidence of an association between current smoking and CD (OR, 1.76; 95% confidence interval [CI], 1.40-2.22) and former smoking and UC (OR, 1.79; 95% CI, 1.37-2.34). Current smoking had a protective effect on the development of UC when compared with controls (OR, 0.58; 95% CI, 0.45-0.75).\nCONCLUSION: This is the first meta-analysis, to our knowledge, to evaluate the relationship between smoking and IBD using accepted quality standards for meta-analysis reporting. Our meta-analyses confirm that smoking is an important environmental factor in IBD with differing effects in UC and CD. By using predefined inclusion criteria and testing for homogeneity, the current analysis provides an estimate of the effect of smoking on both these forms of IBD.","container-title":"Mayo Clinic Proceedings","DOI":"10.4065/81.11.1462","ISSN":"0025-6196","issue":"11","journalAbbreviation":"Mayo Clin Proc","language":"eng","note":"PMID: 17120402","page":"1462-1471","source":"PubMed","title":"Smoking and inflammatory bowel disease: a meta-analysis","title-short":"Smoking and inflammatory bowel disease","volume":"81","author":[{"family":"Mahid","given":"Suhal S."},{"family":"Minor","given":"Kyle S."},{"family":"Soto","given":"Roberto E."},{"family":"Hornung","given":"Carlton A."},{"family":"Galandiuk","given":"Susan"}],"issued":{"date-parts":[["2006",11]]}}},{"id":26,"uris":["http://zotero.org/users/local/9pHoSXqz/items/CQSAA74Y"],"uri":["http://zotero.org/users/local/9pHoSXqz/items/CQSAA74Y"],"itemData":{"id":26,"type":"article-journal","abstract":"OBJECTIVE: To examine the association between physical activity and risk of ulcerative colitis and Crohn's disease.\nDESIGN: Prospective cohort study.\nSETTING: Nurses' Health Study and Nurses' Health Study II.\nPARTICIPANTS: 194,711 women enrolled in the Nurses' Health Study and Nurses' Health Study II who provided data on physical activity and other risk factors every two to four years since 1984 in the Nurses' Health Study and 1989 in the Nurses' Health Study II and followed up through 2010.\nMAIN OUTCOME MEASURE: Incident ulcerative colitis and Crohn's disease.\nRESULTS: During 3,421,972 person years of follow-up, we documented 284 cases of Crohn's disease and 363 cases of ulcerative colitis. The risk of Crohn's disease was inversely associated with physical activity (P for trend 0.02). Compared with women in the lowest fifth of physical activity, the multivariate adjusted hazard ratio of Crohn's disease among women in the highest fifth of physical activity was 0.64 (95% confidence interval 0.44 to 0.94). Active women with at least 27 metabolic equivalent task (MET) hours per week of physical activity had a 44% reduction (hazard ratio 0.56, 95% confidence interval 0.37 to 0.84) in risk of developing Crohn's disease compared with sedentary women with &lt;3 MET h/wk. Physical activity was not associated with risk of ulcerative colitis (P for trend 0.46). The absolute risk of ulcerative colitis and Crohn's disease among women in the highest fifth of physical activity was 8 and 6 events per 100,000 person years compared with 11 and 16 events per 100,000 person years among women in the lowest fifth of physical activity, respectively. Age, smoking, body mass index, and cohort did not significantly modify the association between physical activity and risk of ulcerative colitis or Crohn's disease (all P for interaction &gt;0.35).\nCONCLUSION: In two large prospective cohorts of US women, physical activity was inversely associated with risk of Crohn's disease but not of ulcerative colitis.","container-title":"BMJ (Clinical research ed.)","DOI":"10.1136/bmj.f6633","ISSN":"1756-1833","journalAbbreviation":"BMJ","language":"eng","note":"PMID: 24231178\nPMCID: PMC3935281","page":"f6633","source":"PubMed","title":"Physical activity and risk of inflammatory bowel disease: prospective study from the Nurses' Health Study cohorts","title-short":"Physical activity and risk of inflammatory bowel disease","volume":"347","author":[{"family":"Khalili","given":"Hamed"},{"family":"Ananthakrishnan","given":"Ashwin N."},{"family":"Konijeti","given":"Gauree G."},{"family":"Liao","given":"Xiaomei"},{"family":"Higuchi","given":"Leslie M."},{"family":"Fuchs","given":"Charles S."},{"family":"Spiegelman","given":"Donna"},{"family":"Richter","given":"James M."},{"family":"Korzenik","given":"Joshua R."},{"family":"Chan","given":"Andrew T."}],"issued":{"date-parts":[["2013",11,14]]}}},{"id":29,"uris":["http://zotero.org/users/local/9pHoSXqz/items/GWNUIVWP"],"uri":["http://zotero.org/users/local/9pHoSXqz/items/GWNUIVWP"],"itemData":{"id":29,"type":"article-journal","abstract":"BACKGROUND: Aspirin and nonsteroidal anti-inflammatory drugs (NSAIDs) are anti-inflammatory but have been linked in some studies to Crohn disease (CD) and ulcerative colitis (UC).\nOBJECTIVE: To assess the association between aspirin and NSAID use and incident CD and UC.\nDESIGN: Prospective cohort study.\nSETTING: Nurses' Health Study I.\nPATIENTS: 76,795 U.S. women who provided biennially updated data about aspirin and NSAID use.\nMEASUREMENTS: Incident CD and UC between 1990 and 2008 (outcome) and NSAID and aspirin use (exposure).\nRESULTS: 123 incident cases of CD and 117 cases of UC occurred over 18 years and 1,295,317 person-years of follow-up. Compared with nonusers, women who used NSAIDs at least 15 days per month seemed to have increased risk for both CD (absolute difference in age-adjusted incidence, 6 cases per 100,000 person-years [95% CI, 0 to 13]; multivariate hazard ratio, 1.59 [CI, 0.99 to 2.56]) and UC (absolute difference, 7 cases per 100,000 person-years [CI, 1 to 12]; multivariate hazard ratio, 1.87 [CI, 1.16 to 2.99]). Less frequent NSAID use was not clearly associated with risk for CD or UC, and there was no clear association between aspirin use and disease.\nLIMITATIONS: Cohort participants were exclusively women, most of whom were white. Aspirin and NSAID use were self-reported.\nCONCLUSION: Frequent use of NSAIDs but not aspirin seemed to be associated with increased absolute incidence of CD and UC. The findings have more mechanistic than clinical implications, because the absolute incidence of CD or UC associated with NSAIDs was low and the increase in risk for CD or UC associated with NSAIDs is unlikely to alter the balance of more common and clinically significant risks and benefits associated with these agents.\nPRIMARY FUNDING SOURCE: American Gastroenterological Association, IBD Working Group, Broad Medical Research Program, and National Institutes of Health.","container-title":"Annals of Internal Medicine","DOI":"10.7326/0003-4819-156-5-201203060-00007","ISSN":"1539-3704","issue":"5","journalAbbreviation":"Ann Intern Med","language":"eng","note":"PMID: 22393130\nPMCID: PMC3369539","page":"350-359","source":"PubMed","title":"Aspirin, nonsteroidal anti-inflammatory drug use, and risk for Crohn disease and ulcerative colitis: a cohort study","title-short":"Aspirin, nonsteroidal anti-inflammatory drug use, and risk for Crohn disease and ulcerative colitis","volume":"156","author":[{"family":"Ananthakrishnan","given":"Ashwin N."},{"family":"Higuchi","given":"Leslie M."},{"family":"Huang","given":"Edward S."},{"family":"Khalili","given":"Hamed"},{"family":"Richter","given":"James M."},{"family":"Fuchs","given":"Charles S."},{"family":"Chan","given":"Andrew T."}],"issued":{"date-parts":[["2012",3,6]]}}},{"id":32,"uris":["http://zotero.org/users/local/9pHoSXqz/items/FJU26SEP"],"uri":["http://zotero.org/users/local/9pHoSXqz/items/FJU26SEP"],"itemData":{"id":32,"type":"article-journal","abstract":"OBJECTIVE: Environmental factors have been implicated in the etiology of inflammatory bowel disease (IBD), but evidence for the hygiene hypothesis is unclear. We investigated the relationship between early-life infection-related exposures and risk of IBD.\nPATIENTS AND METHODS: A hospital-based case-control study was carried out. A total of 124 cases of Crohn's disease (CD) and 146 of ulcerative colitis (UC) were compared with 235 and 278 well-matched control subjects, respectively. A multi-item questionnaire on familial history of IBD, childhood circumstances and familial socioeconomic status was carried out.\nRESULTS: In a multivariate model, living in urban areas (odds ratio (OR) 4.58 (95% CI 2.17-10)), high educational level (OR 1.83 (95% CI 14-2.95)) and social status (OR 1.68 (95% CI 1.2-2.35)) were risk factors for CD, whereas childhood respiratory infections (OR 0.35 (95% CI 0.23-0.52)) and gastroenteritis (OR 0.55 (95% CI 0.36-0.85)) were protective factors. Living in urban areas (OR 4.6 (95% CI 2.29-9.9)), a high educational level (OR 10.3 (95% CI 2.54-42.1)) and social status (OR 2.042 (95% CI 1.31-3.17)) were also risk factors for UC, whereas respiratory infections (OR 0.42 (95% CI 0.29-0.6)) and gastroenteritis (OR: 0.6 (95% CI 0.42-0.86)) were protective factors. Appendectomy (OR 0.173 (95% CI 0.06-0.52)) and current smoking (OR 0.75 (95% CI 0.59-0.96)) were also protective for UC.\nCONCLUSION: These results further support the hypothesis that better living conditions during childhood are associated with an increased risk for IBD, and reinforce the negative association between smoking and appendectomy and the risk of UC.","container-title":"Scandinavian Journal of Gastroenterology","DOI":"10.3109/00365521.2010.510575","ISSN":"1502-7708","issue":"12","journalAbbreviation":"Scand J Gastroenterol","language":"eng","note":"PMID: 20704469","page":"1464-1471","source":"PubMed","title":"Environmental risk factors in inflammatory bowel diseases. Investigating the hygiene hypothesis: a Spanish case-control study","title-short":"Environmental risk factors in inflammatory bowel diseases. Investigating the hygiene hypothesis","volume":"45","author":[{"family":"López-Serrano","given":"Pilar"},{"family":"Pérez-Calle","given":"José L."},{"family":"Pérez-Fernández","given":"Maria Teresa"},{"family":"Fernández-Font","given":"Juan Manuel"},{"family":"Boixeda de Miguel","given":"Daniel"},{"family":"Fernández-Rodríguez","given":"Conrado M."}],"issued":{"date-parts":[["2010",12]]}}},{"id":54,"uris":["http://zotero.org/users/local/9pHoSXqz/items/A9THBG5E"],"uri":["http://zotero.org/users/local/9pHoSXqz/items/A9THBG5E"],"itemData":{"id":54,"type":"article-journal","container-title":"Alimentary Pharmacology &amp; Therapeutics","DOI":"10.1111/apt.14291","ISSN":"02692813","issue":"9","journalAbbreviation":"Aliment Pharmacol Ther","language":"en","page":"780-789","source":"DOI.org (Crossref)","title":"Systematic review with meta-analysis: breastfeeding and the risk of Crohn's disease and ulcerative colitis","title-short":"Systematic review with meta-analysis","volume":"46","author":[{"family":"Xu","given":"L."},{"family":"Lochhead","given":"P."},{"family":"Ko","given":"Y."},{"family":"Claggett","given":"B."},{"family":"Leong","given":"R. W."},{"family":"Ananthakrishnan","given":"A. N."}],"issued":{"date-parts":[["2017",11]]}}}],"schema":"https://github.com/citation-style-language/schema/raw/master/csl-citation.json"}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8–12</w:t>
      </w:r>
      <w:r w:rsidRPr="00B04297">
        <w:rPr>
          <w:sz w:val="24"/>
          <w:szCs w:val="24"/>
        </w:rPr>
        <w:fldChar w:fldCharType="end"/>
      </w:r>
      <w:r w:rsidRPr="00B04297">
        <w:rPr>
          <w:sz w:val="24"/>
          <w:szCs w:val="24"/>
        </w:rPr>
        <w:t xml:space="preserve"> These dietary factors include decreased intake of dietary fibre, increased dietary intake of total fat, animal fat, polyunsaturated fatty acids, and omega-6 fatty acids, and decreased vitamin D intake.</w:t>
      </w:r>
      <w:r w:rsidRPr="00B04297">
        <w:rPr>
          <w:sz w:val="24"/>
          <w:szCs w:val="24"/>
        </w:rPr>
        <w:fldChar w:fldCharType="begin"/>
      </w:r>
      <w:r>
        <w:rPr>
          <w:sz w:val="24"/>
          <w:szCs w:val="24"/>
        </w:rPr>
        <w:instrText xml:space="preserve"> ADDIN ZOTERO_ITEM CSL_CITATION {"citationID":"BwYrftSl","properties":{"formattedCitation":"\\super 13,14\\nosupersub{}","plainCitation":"13,14","noteIndex":0},"citationItems":[{"id":34,"uris":["http://zotero.org/users/local/9pHoSXqz/items/2SWEMCDJ"],"uri":["http://zotero.org/users/local/9pHoSXqz/items/2SWEMCDJ"],"itemData":{"id":34,"type":"article-journal","abstract":"AIM: Advances in genetics and immunology have contributed to the current understanding of the pathogenesis of inflammatory bowel diseases (IBD).\nMETHODS: The current opinion on the pathogenesis of IBD suggests that genetically susceptible individuals develop intolerance to dysregulated gut microflora (dysbiosis) and chronic inflammation develops as a result of environmental insults. Environmental exposures are innumerable with varying effects during the life course of individuals with IBD. Studying the relationship between environmental factors and IBD may provide the missing link to increasing our understanding of the etiology and increased incidence of IBD in recent years with implications for prevention, diagnosis, and treatment. Environmental factors are heterogeneous and genetic predisposition, immune dysregulation, or dysbiosis do not lead to the development of IBD in isolation.\nRESULTS: Current challenges in the study of environmental factors and IBD are how to effectively translate promising results from experimental studies to humans in order to develop models that incorporate the complex interactions between the environment, genetics, immunology, and gut microbiota, and limited high quality interventional studies assessing the effect of modifying environmental factors on the natural history and patient outcomes in IBD.\nCONCLUSION: This article critically reviews the current evidence on environmental risk factors for IBD and proposes directions for future research.","container-title":"World Journal of Gastroenterology","DOI":"10.3748/wjg.v22.i27.6296","ISSN":"2219-2840","issue":"27","journalAbbreviation":"World J Gastroenterol","language":"eng","note":"PMID: 27468219\nPMCID: PMC4945988","page":"6296-6317","source":"PubMed","title":"Environmental risk factors for inflammatory bowel diseases: Evidence based literature review","title-short":"Environmental risk factors for inflammatory bowel diseases","volume":"22","author":[{"family":"Abegunde","given":"Ayokunle T."},{"family":"Muhammad","given":"Bashir H."},{"family":"Bhatti","given":"Owais"},{"family":"Ali","given":"Tauseef"}],"issued":{"date-parts":[["2016",7,21]]}}},{"id":37,"uris":["http://zotero.org/users/local/9pHoSXqz/items/TCYJ3X7V"],"uri":["http://zotero.org/users/local/9pHoSXqz/items/TCYJ3X7V"],"itemData":{"id":37,"type":"article-journal","abstract":"BACKGROUND: Vitamin D plays a role in several immune-mediated diseases, but its association with inflammatory bowel disease (IBD) is unclear. We conducted a systematic review and meta-analysis to assess the association between IBD and vitamin D deficiency.\nMETHODS: We searched electronic databases from inception to December 2014 for observational studies reporting the presence of vitamin D deficiency (defined as serum 25-hydroxycholecalciferol [25(OH)D] level of ≤20 ng/mL) in IBD patients and having a control group without IBD. Odds ratios (ORs) were combined using a random-effects model. Meta-regression was performed using latitude as a moderator. Study quality was assessed using the Newcastle-Ottawa scale.\nRESULTS: Out of 816 citations, 14 eligible studies were identified, comprising 1891 participants (938 IBD cases and 953 controls). Meta-analysis showed that patients with IBD had 64% higher odds of vitamin D deficiency when compared with controls (OR = 1.64; 95% confidence interval, 1.30-2.08; I = 7%; P &lt; 0.0001). Patients with ulcerative colitis had more than double the odds of vitamin D deficiency when compared with normal controls (OR = 2.28; 95% confidence interval, 1.18-4.41; I = 41%; P = 0.01). Latitude did not influence the association between IBD and vitamin D deficiency (P = 0.34). Generalizability of our results might be limited as we summarized unadjusted ORs, because of nonavailability of adjusted ORs in individual studies.\nCONCLUSIONS: IBD is significantly associated with having higher odds of vitamin D deficiency. Well-designed randomized controlled trials and longitudinal studies are needed to further explain the role of vitamin D in IBD pathogenesis and its therapy.","container-title":"Inflammatory Bowel Diseases","DOI":"10.1097/MIB.0000000000000546","ISSN":"1536-4844","issue":"11","journalAbbreviation":"Inflamm Bowel Dis","language":"eng","note":"PMID: 26348447\nPMCID: PMC4615394","page":"2708-2717","source":"PubMed","title":"Association Between Inflammatory Bowel Disease and Vitamin D Deficiency: A Systematic Review and Meta-analysis","title-short":"Association Between Inflammatory Bowel Disease and Vitamin D Deficiency","volume":"21","author":[{"family":"Del Pinto","given":"Rita"},{"family":"Pietropaoli","given":"Davide"},{"family":"Chandar","given":"Apoorva K."},{"family":"Ferri","given":"Claudio"},{"family":"Cominelli","given":"Fabio"}],"issued":{"date-parts":[["2015",11]]}}}],"schema":"https://github.com/citation-style-language/schema/raw/master/csl-citation.json"}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13,14</w:t>
      </w:r>
      <w:r w:rsidRPr="00B04297">
        <w:rPr>
          <w:sz w:val="24"/>
          <w:szCs w:val="24"/>
        </w:rPr>
        <w:fldChar w:fldCharType="end"/>
      </w:r>
    </w:p>
    <w:p w14:paraId="29EE7086" w14:textId="58FC0620" w:rsidR="001E5203" w:rsidRDefault="001E5203" w:rsidP="00704D76">
      <w:pPr>
        <w:pStyle w:val="Overskrift4"/>
        <w:jc w:val="both"/>
      </w:pPr>
      <w:bookmarkStart w:id="7" w:name="_Toc93326803"/>
      <w:r>
        <w:t>2.4. Genetic risk factors for Crohn disease</w:t>
      </w:r>
      <w:bookmarkEnd w:id="7"/>
    </w:p>
    <w:p w14:paraId="3B5F90E2" w14:textId="77777777" w:rsidR="001E5203" w:rsidRDefault="001E5203" w:rsidP="00704D76">
      <w:pPr>
        <w:spacing w:line="360" w:lineRule="auto"/>
        <w:jc w:val="both"/>
        <w:rPr>
          <w:sz w:val="24"/>
          <w:szCs w:val="24"/>
        </w:rPr>
      </w:pPr>
      <w:r w:rsidRPr="00BB1D88">
        <w:rPr>
          <w:sz w:val="24"/>
          <w:szCs w:val="24"/>
        </w:rPr>
        <w:t>More th</w:t>
      </w:r>
      <w:r>
        <w:rPr>
          <w:sz w:val="24"/>
          <w:szCs w:val="24"/>
        </w:rPr>
        <w:t>a</w:t>
      </w:r>
      <w:r w:rsidRPr="00BB1D88">
        <w:rPr>
          <w:sz w:val="24"/>
          <w:szCs w:val="24"/>
        </w:rPr>
        <w:t>n 85</w:t>
      </w:r>
      <w:r>
        <w:rPr>
          <w:sz w:val="24"/>
          <w:szCs w:val="24"/>
        </w:rPr>
        <w:t>% of CD patients have no family history of IBD</w:t>
      </w:r>
      <w:r>
        <w:rPr>
          <w:sz w:val="24"/>
          <w:szCs w:val="24"/>
        </w:rPr>
        <w:fldChar w:fldCharType="begin"/>
      </w:r>
      <w:r>
        <w:rPr>
          <w:sz w:val="24"/>
          <w:szCs w:val="24"/>
        </w:rPr>
        <w:instrText xml:space="preserve"> ADDIN ZOTERO_ITEM CSL_CITATION {"citationID":"k9wdG7wT","properties":{"formattedCitation":"\\super 15\\nosupersub{}","plainCitation":"15","noteIndex":0},"citationItems":[{"id":166,"uris":["http://zotero.org/users/local/9pHoSXqz/items/RFC677K2"],"uri":["http://zotero.org/users/local/9pHoSXqz/items/RFC677K2"],"itemData":{"id":166,"type":"article-journal","container-title":"New England Journal of Medicine","DOI":"10.1056/NEJM199101103240203","ISSN":"0028-4793, 1533-4406","issue":"2","journalAbbreviation":"N Engl J Med","language":"en","page":"84-88","source":"DOI.org (Crossref)","title":"Familial Occurrence of Inflammatory Bowel Disease","volume":"324","author":[{"family":"Orholm","given":"Marianne"},{"family":"Munkholm","given":"Pia"},{"family":"Langholz","given":"Ebbe"},{"family":"Nielsen","given":"Ole Haagen"},{"family":"Sørensen","given":"Thorkild I.A."},{"family":"Binder","given":"Vibeke"}],"issued":{"date-parts":[["1991",1,10]]}}}],"schema":"https://github.com/citation-style-language/schema/raw/master/csl-citation.json"}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15</w:t>
      </w:r>
      <w:r>
        <w:rPr>
          <w:sz w:val="24"/>
          <w:szCs w:val="24"/>
        </w:rPr>
        <w:fldChar w:fldCharType="end"/>
      </w:r>
      <w:r>
        <w:rPr>
          <w:sz w:val="24"/>
          <w:szCs w:val="24"/>
        </w:rPr>
        <w:t>. However, twin studies have shown strong clinical evidence of heritable risk factors. The concordance rate for CD for monozygotic twins is 50%</w:t>
      </w:r>
      <w:r>
        <w:rPr>
          <w:sz w:val="24"/>
          <w:szCs w:val="24"/>
        </w:rPr>
        <w:fldChar w:fldCharType="begin"/>
      </w:r>
      <w:r>
        <w:rPr>
          <w:sz w:val="24"/>
          <w:szCs w:val="24"/>
        </w:rPr>
        <w:instrText xml:space="preserve"> ADDIN ZOTERO_ITEM CSL_CITATION {"citationID":"t3i2IYKf","properties":{"formattedCitation":"\\super 16\\nosupersub{}","plainCitation":"16","noteIndex":0},"citationItems":[{"id":167,"uris":["http://zotero.org/users/local/9pHoSXqz/items/KQYF9PGC"],"uri":["http://zotero.org/users/local/9pHoSXqz/items/KQYF9PGC"],"itemData":{"id":167,"type":"article-journal","container-title":"Gastroenterology","DOI":"10.1016/S0016-5085(03)00385-8","ISSN":"00165085","issue":"7","journalAbbreviation":"Gastroenterology","language":"en","page":"1767-1773","source":"DOI.org (Crossref)","title":"Inflammatory bowel disease in a Swedish twin cohort: a long-term follow-up of concordance and clinical characteristics","title-short":"Inflammatory bowel disease in a Swedish twin cohort","volume":"124","author":[{"family":"Halfvarson","given":"Jonas"},{"family":"Bodin","given":"Lennart"},{"family":"Tysk","given":"Curt"},{"family":"Lindberg","given":"Eva"},{"family":"Järnerot","given":"Gunnar"}],"issued":{"date-parts":[["2003",6]]}}}],"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16</w:t>
      </w:r>
      <w:r>
        <w:rPr>
          <w:sz w:val="24"/>
          <w:szCs w:val="24"/>
        </w:rPr>
        <w:fldChar w:fldCharType="end"/>
      </w:r>
      <w:r>
        <w:rPr>
          <w:sz w:val="24"/>
          <w:szCs w:val="24"/>
        </w:rPr>
        <w:t>, showcasing a strong genetic component. Interestingly, the concordance rate for UC is much lower than that of CD, only 19%. Genetic risk factors also confer a risk for certain clinical patterns, including the CD location and type. There is an approximately 49 – 86% concordance of disease site and clinical type of disease in family members with CD.</w:t>
      </w:r>
      <w:r>
        <w:rPr>
          <w:sz w:val="24"/>
          <w:szCs w:val="24"/>
        </w:rPr>
        <w:fldChar w:fldCharType="begin"/>
      </w:r>
      <w:r>
        <w:rPr>
          <w:sz w:val="24"/>
          <w:szCs w:val="24"/>
        </w:rPr>
        <w:instrText xml:space="preserve"> ADDIN ZOTERO_ITEM CSL_CITATION {"citationID":"8M1Pvqed","properties":{"formattedCitation":"\\super 17,18\\nosupersub{}","plainCitation":"17,18","noteIndex":0},"citationItems":[{"id":170,"uris":["http://zotero.org/users/local/9pHoSXqz/items/ECB5QMTC"],"uri":["http://zotero.org/users/local/9pHoSXqz/items/ECB5QMTC"],"itemData":{"id":170,"type":"article-journal","abstract":"BACKGROUND &amp; AIMS: Familial aggregation argues for genetic susceptibility to Crohn's disease. The aim of this study was to compare the age of onset and the clinical features of Crohn's disease between patients with familial disease and those with sporadic disease and investigate the concordance for disease location and type among relatives with Crohn's disease.\nMETHODS: Seventy-two families with 2 (n = 55), 3 (n = 8), 4 (n = 6), and 5 or more (n = 3) affected first-degree relatives were selected for the study. A population of 1377 patients with sporadic nonfamilial Crohn's disease was used for comparison.\nRESULTS: Clinical data were obtained from 176 patients with familial Crohn's disease (79 men and 97 women). Median age at onset was younger in familial Crohn's disease than in sporadic cases: 22 vs. 26.5 years (P &lt; 0.01). In familial cases, fewer patients had exclusively colonic involvement and more patients had both small bowel and colonic involvement. Among relatives of families with 2 affected members, 56% were concordant for disease location and 49% for disease type. These percentages reached 83% and 76%, respectively, within families with more than 2 affected members.\nCONCLUSIONS: Patients with familial Crohn's disease are characterized by an early age at onset with more extensive disease and may represent a homogeneous clinical subgroup with a particularly strong genetic influence.","container-title":"Gastroenterology","DOI":"10.1053/gast.1996.v111.pm8780563","ISSN":"0016-5085","issue":"3","journalAbbreviation":"Gastroenterology","language":"eng","note":"PMID: 8780563","page":"604-607","source":"PubMed","title":"Clinical characteristics of Crohn's disease in 72 families","volume":"111","author":[{"family":"Colombel","given":"J. F."},{"family":"Grandbastien","given":"B."},{"family":"Gower-Rousseau","given":"C."},{"family":"Plegat","given":"S."},{"family":"Evrard","given":"J. P."},{"family":"Dupas","given":"J. L."},{"family":"Gendre","given":"J. P."},{"family":"Modigliani","given":"R."},{"family":"Bélaïche","given":"J."},{"family":"Hostein","given":"J."},{"family":"Hugot","given":"J. P."},{"family":"Kruiningen","given":"H.","non-dropping-particle":"van"},{"family":"Cortot","given":"A."}],"issued":{"date-parts":[["1996",9]]}}},{"id":168,"uris":["http://zotero.org/users/local/9pHoSXqz/items/8WPZB8V8"],"uri":["http://zotero.org/users/local/9pHoSXqz/items/8WPZB8V8"],"itemData":{"id":168,"type":"article-journal","abstract":"BACKGROUND &amp; AIMS: The association of genetic influences between bowel location and clinical type of Crohn's disease may provide more information on the genetic heterogeneity of inflammatory bowel disease. The aim of this study was to analyze familial occurrences of Crohn's disease for concordance for site and type.\nMETHODS: Of 554 consecutive patients, 95 (17%) had a family history of Crohn's disease. Sixty families were analyzed for concordance for site and clinical type and by a series of conditional logistic regression models to test the significance of concordance within families.\nRESULTS: Eighty-six percent of families were concordant in at least 2 members for the site of Crohn's disease, and 82% were concordant for clinical type. Pairing family members together, concordance greater than expected in an unrelated population was observed. Using a conditional logistic regression model, a statistically significant role for concordance in predicting site and type of Crohn's disease in other affected family members was found.\nCONCLUSIONS: Greater-than-expected concordance for site and clinical type of Crohn's disease within individual families is compatible with a concept of multiple, distinct forms of Crohn's disease, which, although possibly influenced by environment, seem more likely to be separate inheritable forms or phenotypes.","container-title":"Gastroenterology","DOI":"10.1053/gast.1996.v111.pm8780559","ISSN":"0016-5085","issue":"3","journalAbbreviation":"Gastroenterology","language":"eng","note":"PMID: 8780559","page":"573-579","source":"PubMed","title":"Crohn's disease: concordance for site and clinical type in affected family members--potential hereditary influences","title-short":"Crohn's disease","volume":"111","author":[{"family":"Bayless","given":"T. M."},{"family":"Tokayer","given":"A. Z."},{"family":"Polito","given":"J. M."},{"family":"Quaskey","given":"S. A."},{"family":"Mellits","given":"E. D."},{"family":"Harris","given":"M. L."}],"issued":{"date-parts":[["1996",9]]}}}],"schema":"https://github.com/citation-style-language/schema/raw/master/csl-citation.json"}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17,18</w:t>
      </w:r>
      <w:r>
        <w:rPr>
          <w:sz w:val="24"/>
          <w:szCs w:val="24"/>
        </w:rPr>
        <w:fldChar w:fldCharType="end"/>
      </w:r>
    </w:p>
    <w:p w14:paraId="5C45FD86" w14:textId="662CC967" w:rsidR="001E5203" w:rsidRPr="00BB1D88" w:rsidRDefault="001E5203" w:rsidP="00704D76">
      <w:pPr>
        <w:spacing w:line="360" w:lineRule="auto"/>
        <w:jc w:val="both"/>
        <w:rPr>
          <w:sz w:val="24"/>
          <w:szCs w:val="24"/>
        </w:rPr>
      </w:pPr>
      <w:r>
        <w:rPr>
          <w:sz w:val="24"/>
          <w:szCs w:val="24"/>
        </w:rPr>
        <w:lastRenderedPageBreak/>
        <w:t>Over 200 single nucleotide polymorphisms (SNPs) are known to be associated with susceptibility to IBD</w:t>
      </w:r>
      <w:r>
        <w:rPr>
          <w:sz w:val="24"/>
          <w:szCs w:val="24"/>
        </w:rPr>
        <w:fldChar w:fldCharType="begin"/>
      </w:r>
      <w:r>
        <w:rPr>
          <w:sz w:val="24"/>
          <w:szCs w:val="24"/>
        </w:rPr>
        <w:instrText xml:space="preserve"> ADDIN ZOTERO_ITEM CSL_CITATION {"citationID":"bih9eGDn","properties":{"formattedCitation":"\\super 19\\nosupersub{}","plainCitation":"19","noteIndex":0},"citationItems":[{"id":172,"uris":["http://zotero.org/users/local/9pHoSXqz/items/VE4ACSD2"],"uri":["http://zotero.org/users/local/9pHoSXqz/items/VE4ACSD2"],"itemData":{"id":172,"type":"article-journal","abstract":"Epidemiological and clinical studies have suggested that the pathogenesis of inflammatory bowel disease (IBD) is strongly influenced by genetic predisposition. Beyond the limitations of linkage analysis, multiple genome-wide association studies, their meta-analyses, and targeted genotyping array techniques have broadened our understanding of the genetic architecture of IBD. Currently, over 200 single nucleotide polymorphisms are known to be associated with susceptibility to IBD and through functional analysis of genes and loci, a substantial proportion of pathophysiologic mechanisms have been revealed. However, because only a modest fraction of predicted heritability can be explained by known genes/loci, additional strategies are needed including the identification of rare variants with large effect sizes to help explain the missing heritability. Considerable progress is also being made on applying outcomes of genetic research in diagnostics, classification, prognostics, and the development of new therapeutics of IBD.","container-title":"Expert Review of Clinical Immunology","DOI":"10.1080/1744666X.2016.1184972","ISSN":"1744-8409","issue":"10","journalAbbreviation":"Expert Rev Clin Immunol","language":"eng","note":"PMID: 27156530\nPMCID: PMC5083126","page":"1091-1107","source":"PubMed","title":"Genetic variation in IBD: progress, clues to pathogenesis and possible clinical utility","title-short":"Genetic variation in IBD","volume":"12","author":[{"family":"Ye","given":"Byong Duk"},{"family":"McGovern","given":"Dermot P. B."}],"issued":{"date-parts":[["2016",10]]}}}],"schema":"https://github.com/citation-style-language/schema/raw/master/csl-citation.json"}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19</w:t>
      </w:r>
      <w:r>
        <w:rPr>
          <w:sz w:val="24"/>
          <w:szCs w:val="24"/>
        </w:rPr>
        <w:fldChar w:fldCharType="end"/>
      </w:r>
      <w:r>
        <w:rPr>
          <w:sz w:val="24"/>
          <w:szCs w:val="24"/>
        </w:rPr>
        <w:t xml:space="preserve">, but these polymorphisms confer a modest effect individually. CARD15/NOD2 is located on the IBD1 locus on chromosome 16 and was one of the earliest researched genes involved in CD development. A prospective cohort of 186 children found a prevalence of CARD15/NOD2 mutations in 42% of </w:t>
      </w:r>
      <w:r w:rsidR="00C95C95">
        <w:rPr>
          <w:sz w:val="24"/>
          <w:szCs w:val="24"/>
        </w:rPr>
        <w:t xml:space="preserve">CD </w:t>
      </w:r>
      <w:r>
        <w:rPr>
          <w:sz w:val="24"/>
          <w:szCs w:val="24"/>
        </w:rPr>
        <w:t>patients.</w:t>
      </w:r>
      <w:r>
        <w:rPr>
          <w:sz w:val="24"/>
          <w:szCs w:val="24"/>
        </w:rPr>
        <w:fldChar w:fldCharType="begin"/>
      </w:r>
      <w:r>
        <w:rPr>
          <w:sz w:val="24"/>
          <w:szCs w:val="24"/>
        </w:rPr>
        <w:instrText xml:space="preserve"> ADDIN ZOTERO_ITEM CSL_CITATION {"citationID":"a75kH5Ea","properties":{"formattedCitation":"\\super 20\\nosupersub{}","plainCitation":"20","noteIndex":0},"citationItems":[{"id":175,"uris":["http://zotero.org/users/local/9pHoSXqz/items/INE57D6Q"],"uri":["http://zotero.org/users/local/9pHoSXqz/items/INE57D6Q"],"itemData":{"id":175,"type":"article-journal","abstract":"BACKGROUND &amp; AIMS: The risk for Crohn's disease (CD) is determined in part by genetic factors. Three recently described mutations in the CARD15(NOD2) gene have been associated with adult-onset CD. We investigated the effect of CARD15 mutations on disease manifestation, disease progression, and the risk for early surgery in childhood-onset CD.\nMETHODS: Genotyping for 3 CARD15 mutations: R702W, G908R, and 3020insC, was performed in 186 children with CD from a prospective cohort. A transmission-disequilibrium test was used to test for association with CD. Genotype with disease location and behavior was tested with logistic regression analysis. The effect of mutations on surgical outcome was evaluated using a Cox proportional hazard analysis.\nRESULTS: The mean age at CD diagnosis was 12.4 years. The frequency of allelic mutations observed was 6.6% for R702W, 6% for G908R, and 13.1% for 3020insC. Of Caucasian CD children, 42% had at least one CARD15 mutation. None of the non-Caucasian children with CD had any CARD15 mutation. A significant association was detected for 3020insC (P = .0045). Ileal location (odds ratio, 4.3; P = .003) and stricturing disease (odds ratio, 6.6; P = .0001) was more frequent and the risk for surgery was higher (hazard ratio, 5.8; P &lt; .0001) and surgery occurred earlier (hazard ratio, 2.24) in those children with 3020insC mutation compared with those without 3020insC.\nCONCLUSIONS: In children with pediatric-onset CD, early development of stricturing behavior leading to surgical resection is influenced by ileal location and 3020insC variant of the CARD15 mutation. Genetic testing may identify children with CD who are at risk for early surgery.","container-title":"Clinical Gastroenterology and Hepatology: The Official Clinical Practice Journal of the American Gastroenterological Association","DOI":"10.1016/s1542-3565(04)00452-5","ISSN":"1542-3565","issue":"11","journalAbbreviation":"Clin Gastroenterol Hepatol","language":"eng","note":"PMID: 15551253","page":"1003-1009","source":"PubMed","title":"CARD15 gene mutations and risk for early surgery in pediatric-onset Crohn's disease","volume":"2","author":[{"family":"Kugathasan","given":"Subra"},{"family":"Collins","given":"Nicole"},{"family":"Maresso","given":"Karen"},{"family":"Hoffmann","given":"Raymond G."},{"family":"Stephens","given":"Michael"},{"family":"Werlin","given":"Steven L."},{"family":"Rudolph","given":"Colin"},{"family":"Broeckel","given":"Ulrich"}],"issued":{"date-parts":[["2004",11]]}}}],"schema":"https://github.com/citation-style-language/schema/raw/master/csl-citation.json"}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20</w:t>
      </w:r>
      <w:r>
        <w:rPr>
          <w:sz w:val="24"/>
          <w:szCs w:val="24"/>
        </w:rPr>
        <w:fldChar w:fldCharType="end"/>
      </w:r>
      <w:r>
        <w:rPr>
          <w:sz w:val="24"/>
          <w:szCs w:val="24"/>
        </w:rPr>
        <w:t xml:space="preserve"> Mutations in this gene confer susceptibility to ileal CD.</w:t>
      </w:r>
      <w:r w:rsidRPr="00BB1D88">
        <w:rPr>
          <w:sz w:val="24"/>
          <w:szCs w:val="24"/>
        </w:rPr>
        <w:t xml:space="preserve"> </w:t>
      </w:r>
      <w:r>
        <w:rPr>
          <w:sz w:val="24"/>
          <w:szCs w:val="24"/>
        </w:rPr>
        <w:t>The CARD15/NOD2 protein activates NF-</w:t>
      </w:r>
      <w:proofErr w:type="spellStart"/>
      <w:r>
        <w:rPr>
          <w:sz w:val="24"/>
          <w:szCs w:val="24"/>
        </w:rPr>
        <w:t>κB</w:t>
      </w:r>
      <w:proofErr w:type="spellEnd"/>
      <w:r>
        <w:rPr>
          <w:sz w:val="24"/>
          <w:szCs w:val="24"/>
        </w:rPr>
        <w:t xml:space="preserve"> in response to muramyl dipeptide, a fragment of bacterial peptidoglycan</w:t>
      </w:r>
      <w:r>
        <w:rPr>
          <w:sz w:val="24"/>
          <w:szCs w:val="24"/>
        </w:rPr>
        <w:fldChar w:fldCharType="begin"/>
      </w:r>
      <w:r>
        <w:rPr>
          <w:sz w:val="24"/>
          <w:szCs w:val="24"/>
        </w:rPr>
        <w:instrText xml:space="preserve"> ADDIN ZOTERO_ITEM CSL_CITATION {"citationID":"Fvo2f0z0","properties":{"formattedCitation":"\\super 21\\nosupersub{}","plainCitation":"21","noteIndex":0},"citationItems":[{"id":179,"uris":["http://zotero.org/users/local/9pHoSXqz/items/5IN749RT"],"uri":["http://zotero.org/users/local/9pHoSXqz/items/5IN749RT"],"itemData":{"id":179,"type":"article-journal","abstract":"Genetic mutations in the innate immune receptor nucleotide-binding oligomerization domain-containing 2 (Nod2) have demonstrated increased susceptibility to Crohn's disease, an inflammatory bowel disease that is hypothesized to be accompanied by changes in the gut microbiota. Nod2 responds to the presence of bacteria, specifically a fragment of the bacterial cell wall, muramyl dipeptide (MDP). The proposed site of this interaction is the leucine-rich repeat (LRR) domain. Surface plasmon resonance and molecular modeling were used to investigate the interaction of the LRR domain with MDP. A functional and pure LRR domain was obtained from Escherichia coli expression in high yield. The LRR domain binds to MDP with high affinity, with a KD of 212 ± 24 nM. Critical portions of the receptor were determined by mutagenesis of putative binding residues. Fragment analysis of MDP revealed that both the peptide and carbohydrate portion contribute to the binding interaction.","container-title":"ACS infectious diseases","DOI":"10.1021/acsinfecdis.6b00154","ISSN":"2373-8227","issue":"4","journalAbbreviation":"ACS Infect Dis","language":"eng","note":"PMID: 27748583\nPMCID: PMC5820023","page":"264-270","source":"PubMed","title":"Molecular Recognition of Muramyl Dipeptide Occurs in the Leucine-rich Repeat Domain of Nod2","volume":"3","author":[{"family":"Lauro","given":"Mackenzie L."},{"family":"D'Ambrosio","given":"Elizabeth A."},{"family":"Bahnson","given":"Brian J."},{"family":"Grimes","given":"Catherine Leimkuhler"}],"issued":{"date-parts":[["2017",4,14]]}}}],"schema":"https://github.com/citation-style-language/schema/raw/master/csl-citation.json"}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21</w:t>
      </w:r>
      <w:r>
        <w:rPr>
          <w:sz w:val="24"/>
          <w:szCs w:val="24"/>
        </w:rPr>
        <w:fldChar w:fldCharType="end"/>
      </w:r>
      <w:r>
        <w:rPr>
          <w:sz w:val="24"/>
          <w:szCs w:val="24"/>
        </w:rPr>
        <w:t>, highlighting a link between genetic risk, the innate immune system and the microbiome. Other pathways implicated in genetic risk include the autophagy pathway, adaptive immunity, Paneth cell biology, and the ER stress/unfolded protein response.</w:t>
      </w:r>
      <w:r>
        <w:rPr>
          <w:sz w:val="24"/>
          <w:szCs w:val="24"/>
        </w:rPr>
        <w:fldChar w:fldCharType="begin"/>
      </w:r>
      <w:r>
        <w:rPr>
          <w:sz w:val="24"/>
          <w:szCs w:val="24"/>
        </w:rPr>
        <w:instrText xml:space="preserve"> ADDIN ZOTERO_ITEM CSL_CITATION {"citationID":"UtfpXkmr","properties":{"formattedCitation":"\\super 19,22,23\\nosupersub{}","plainCitation":"19,22,23","noteIndex":0},"citationItems":[{"id":172,"uris":["http://zotero.org/users/local/9pHoSXqz/items/VE4ACSD2"],"uri":["http://zotero.org/users/local/9pHoSXqz/items/VE4ACSD2"],"itemData":{"id":172,"type":"article-journal","abstract":"Epidemiological and clinical studies have suggested that the pathogenesis of inflammatory bowel disease (IBD) is strongly influenced by genetic predisposition. Beyond the limitations of linkage analysis, multiple genome-wide association studies, their meta-analyses, and targeted genotyping array techniques have broadened our understanding of the genetic architecture of IBD. Currently, over 200 single nucleotide polymorphisms are known to be associated with susceptibility to IBD and through functional analysis of genes and loci, a substantial proportion of pathophysiologic mechanisms have been revealed. However, because only a modest fraction of predicted heritability can be explained by known genes/loci, additional strategies are needed including the identification of rare variants with large effect sizes to help explain the missing heritability. Considerable progress is also being made on applying outcomes of genetic research in diagnostics, classification, prognostics, and the development of new therapeutics of IBD.","container-title":"Expert Review of Clinical Immunology","DOI":"10.1080/1744666X.2016.1184972","ISSN":"1744-8409","issue":"10","journalAbbreviation":"Expert Rev Clin Immunol","language":"eng","note":"PMID: 27156530\nPMCID: PMC5083126","page":"1091-1107","source":"PubMed","title":"Genetic variation in IBD: progress, clues to pathogenesis and possible clinical utility","title-short":"Genetic variation in IBD","volume":"12","author":[{"family":"Ye","given":"Byong Duk"},{"family":"McGovern","given":"Dermot P. B."}],"issued":{"date-parts":[["2016",10]]}}},{"id":182,"uris":["http://zotero.org/users/local/9pHoSXqz/items/CCAHW46M"],"uri":["http://zotero.org/users/local/9pHoSXqz/items/CCAHW46M"],"itemData":{"id":182,"type":"article-journal","abstract":"Inflammatory bowel disease (IBD) has been attributed to aberrant mucosal immunity to the intestinal microbiota. The transcription factor XBP1, a key component of the endoplasmic reticulum (ER) stress response, is required for development and maintenance of secretory cells and linked to JNK activation. We hypothesized that a stressful environmental milieu in a rapidly proliferating tissue might instigate a proinflammatory response. We report that Xbp1 deletion in intestinal epithelial cells (IECs) results in spontaneous enteritis and increased susceptibility to induced colitis secondary to both Paneth cell dysfunction and an epithelium that is overly reactive to inducers of IBD such as bacterial products (flagellin) and TNFalpha. An association of XBP1 variants with both forms of human IBD (Crohn's disease and ulcerative colitis) was identified and replicated (rs35873774; p value 1.6 x 10(-5)) with novel, private hypomorphic variants identified as susceptibility factors. Hence, intestinal inflammation can originate solely from XBP1 abnormalities in IECs, thus linking cell-specific ER stress to the induction of organ-specific inflammation.","container-title":"Cell","DOI":"10.1016/j.cell.2008.07.021","ISSN":"1097-4172","issue":"5","journalAbbreviation":"Cell","language":"eng","note":"PMID: 18775308\nPMCID: PMC2586148","page":"743-756","source":"PubMed","title":"XBP1 links ER stress to intestinal inflammation and confers genetic risk for human inflammatory bowel disease","volume":"134","author":[{"family":"Kaser","given":"Arthur"},{"family":"Lee","given":"Ann-Hwee"},{"family":"Franke","given":"Andre"},{"family":"Glickman","given":"Jonathan N."},{"family":"Zeissig","given":"Sebastian"},{"family":"Tilg","given":"Herbert"},{"family":"Nieuwenhuis","given":"Edward E. S."},{"family":"Higgins","given":"Darren E."},{"family":"Schreiber","given":"Stefan"},{"family":"Glimcher","given":"Laurie H."},{"family":"Blumberg","given":"Richard S."}],"issued":{"date-parts":[["2008",9,5]]}}},{"id":185,"uris":["http://zotero.org/users/local/9pHoSXqz/items/WYTSET9A"],"uri":["http://zotero.org/users/local/9pHoSXqz/items/WYTSET9A"],"itemData":{"id":185,"type":"article-journal","abstract":"BACKGROUND &amp; AIMS: Genetic susceptibility loci for Crohn's disease (CD) are numerous, complex, and likely interact with undefined components of the environment. It has been a challenge to link the effects of particular loci to phenotypes of cells associated with pathogenesis of CD, such as Paneth cells. We investigated whether specific phenotypes of Paneth cells associated with particular genetic susceptibility loci can be used to define specific subtypes of CD.\nMETHODS: We performed a retrospective analysis of 119 resection specimens collected from patients with CD at 2 separate medical centers. Paneth cell phenotypes were classified as normal or abnormal (with disordered, diminished, diffuse, or excluded granule phenotypes) based on lysozyme-positive secretory granule morphology. To uncover the molecular basis of the Paneth cell phenotypes, we developed methods to determine transcriptional profiles from whole-thickness and laser-capture microdissected, formalin-fixed, paraffin-embedded tissue sections.\nRESULTS: The proportion of abnormal Paneth cells was associated with the number of CD-associated NOD2 risk alleles. The cumulative number of NOD2 and ATG16L1 risk alleles had an additive effect on the proportion of abnormal Paneth cells. Unsupervised clustering analysis of demographic and Paneth cell data divided patients into 2 principal subgroups, defined by high and low proportions of abnormal Paneth cells. The disordered and diffuse abnormal Paneth cell phenotypes were associated with an altered transcriptional signature of immune system activation. We observed an inverse correlation between abnormal Paneth cells and presence of granuloma. In addition, high proportions of abnormal Paneth cells were associated with shorter time to disease recurrence after surgery.\nCONCLUSIONS: Histologic analysis of Paneth cell phenotypes can be used to divide patients with CD into subgroups with distinct pathognomonic and clinical features.","container-title":"Gastroenterology","DOI":"10.1053/j.gastro.2013.09.048","ISSN":"1528-0012","issue":"1","journalAbbreviation":"Gastroenterology","language":"eng","note":"PMID: 24076061\nPMCID: PMC3899786","page":"200-209","source":"PubMed","title":"Genetic variants synthesize to produce paneth cell phenotypes that define subtypes of Crohn's disease","volume":"146","author":[{"family":"VanDussen","given":"Kelli L."},{"family":"Liu","given":"Ta-Chiang"},{"family":"Li","given":"Dalin"},{"family":"Towfic","given":"Fadi"},{"family":"Modiano","given":"Nir"},{"family":"Winter","given":"Rachel"},{"family":"Haritunians","given":"Talin"},{"family":"Taylor","given":"Kent D."},{"family":"Dhall","given":"Deepti"},{"family":"Targan","given":"Stephan R."},{"family":"Xavier","given":"Ramnik J."},{"family":"McGovern","given":"Dermot P. B."},{"family":"Stappenbeck","given":"Thaddeus S."}],"issued":{"date-parts":[["2014",1]]}}}],"schema":"https://github.com/citation-style-language/schema/raw/master/csl-citation.json"}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19,22,23</w:t>
      </w:r>
      <w:r>
        <w:rPr>
          <w:sz w:val="24"/>
          <w:szCs w:val="24"/>
        </w:rPr>
        <w:fldChar w:fldCharType="end"/>
      </w:r>
    </w:p>
    <w:p w14:paraId="041BEC34" w14:textId="79CF9151" w:rsidR="001E5203" w:rsidRPr="006C49D2" w:rsidRDefault="001E5203" w:rsidP="00704D76">
      <w:pPr>
        <w:pStyle w:val="Overskrift4"/>
        <w:jc w:val="both"/>
      </w:pPr>
      <w:bookmarkStart w:id="8" w:name="_Toc93326804"/>
      <w:r>
        <w:t>2.5. Morbidity and healthcare-associated costs of Crohn disease</w:t>
      </w:r>
      <w:bookmarkEnd w:id="8"/>
    </w:p>
    <w:p w14:paraId="68A426D4" w14:textId="6C941CBE" w:rsidR="001E5203" w:rsidRPr="00D17179" w:rsidRDefault="001E5203" w:rsidP="00704D76">
      <w:pPr>
        <w:spacing w:line="360" w:lineRule="auto"/>
        <w:jc w:val="both"/>
        <w:rPr>
          <w:sz w:val="24"/>
          <w:szCs w:val="24"/>
        </w:rPr>
      </w:pPr>
      <w:r w:rsidRPr="00B04297">
        <w:rPr>
          <w:sz w:val="24"/>
          <w:szCs w:val="24"/>
        </w:rPr>
        <w:t>IBD causes significant morbidity, and accounts for substantial costs to the health care system and society.</w:t>
      </w:r>
      <w:r w:rsidRPr="00B04297">
        <w:rPr>
          <w:sz w:val="24"/>
          <w:szCs w:val="24"/>
        </w:rPr>
        <w:fldChar w:fldCharType="begin"/>
      </w:r>
      <w:r>
        <w:rPr>
          <w:sz w:val="24"/>
          <w:szCs w:val="24"/>
        </w:rPr>
        <w:instrText xml:space="preserve"> ADDIN ZOTERO_ITEM CSL_CITATION {"citationID":"OeYdPZMr","properties":{"formattedCitation":"\\super 24\\nosupersub{}","plainCitation":"24","noteIndex":0},"citationItems":[{"id":19,"uris":["http://zotero.org/users/local/9pHoSXqz/items/DWX6S85R"],"uri":["http://zotero.org/users/local/9pHoSXqz/items/DWX6S85R"],"itemData":{"id":19,"type":"article-journal","container-title":"Journal of Crohn's and Colitis","DOI":"10.1016/j.crohns.2013.01.010","ISSN":"18739946","issue":"4","journalAbbreviation":"Journal of Crohn's and Colitis","language":"en","page":"322-337","source":"DOI.org (Crossref)","title":"The burden of inflammatory bowel disease in Europe","volume":"7","author":[{"family":"Burisch","given":"Johan"},{"family":"Jess","given":"Tine"},{"family":"Martinato","given":"Matteo"},{"family":"Lakatos","given":"Peter L."}],"issued":{"date-parts":[["2013",5]]}}}],"schema":"https://github.com/citation-style-language/schema/raw/master/csl-citation.json"}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24</w:t>
      </w:r>
      <w:r w:rsidRPr="00B04297">
        <w:rPr>
          <w:sz w:val="24"/>
          <w:szCs w:val="24"/>
        </w:rPr>
        <w:fldChar w:fldCharType="end"/>
      </w:r>
      <w:r w:rsidRPr="00B04297">
        <w:rPr>
          <w:sz w:val="24"/>
          <w:szCs w:val="24"/>
        </w:rPr>
        <w:t xml:space="preserve"> Many patients have a continuous and progressive course of active disease, causing significant disability in life. According to a Norwegian population-based ten-year follow-up study, the cumulative relapse rate during the first 10 years after diagnosis was 90%.</w:t>
      </w:r>
      <w:r w:rsidRPr="00B04297">
        <w:rPr>
          <w:sz w:val="24"/>
          <w:szCs w:val="24"/>
        </w:rPr>
        <w:fldChar w:fldCharType="begin"/>
      </w:r>
      <w:r>
        <w:rPr>
          <w:sz w:val="24"/>
          <w:szCs w:val="24"/>
        </w:rPr>
        <w:instrText xml:space="preserve"> ADDIN ZOTERO_ITEM CSL_CITATION {"citationID":"LfMsdlze","properties":{"formattedCitation":"\\super 25\\nosupersub{}","plainCitation":"25","noteIndex":0},"citationItems":[{"id":21,"uris":["http://zotero.org/users/local/9pHoSXqz/items/4AEMGBUA"],"uri":["http://zotero.org/users/local/9pHoSXqz/items/4AEMGBUA"],"itemData":{"id":21,"type":"article-journal","container-title":"Clinical Gastroenterology and Hepatology","DOI":"10.1016/j.cgh.2007.09.002","ISSN":"15423565","issue":"12","journalAbbreviation":"Clinical Gastroenterology and Hepatology","language":"en","page":"1430-1438","source":"DOI.org (Crossref)","title":"Clinical Course in Crohn’s Disease: Results of a Norwegian Population-Based Ten-Year Follow-Up Study","title-short":"Clinical Course in Crohn’s Disease","volume":"5","author":[{"family":"Solberg","given":"Inger Camilla"},{"family":"Vatn","given":"Morten H."},{"family":"Høie","given":"Ole"},{"family":"Stray","given":"Njaal"},{"family":"Sauar","given":"Jostein"},{"family":"Jahnsen","given":"Jørgen"},{"family":"Moum","given":"Bjørn"},{"family":"Lygren","given":"Idar"}],"issued":{"date-parts":[["2007",12]]}}}],"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25</w:t>
      </w:r>
      <w:r w:rsidRPr="00B04297">
        <w:rPr>
          <w:sz w:val="24"/>
          <w:szCs w:val="24"/>
        </w:rPr>
        <w:fldChar w:fldCharType="end"/>
      </w:r>
      <w:r w:rsidRPr="00B04297">
        <w:rPr>
          <w:sz w:val="24"/>
          <w:szCs w:val="24"/>
        </w:rPr>
        <w:t xml:space="preserve"> The 10-year risk of surgical resection for CD is close to 50%, although this risk has decreased in the past 6 decades.</w:t>
      </w:r>
      <w:r w:rsidRPr="00B04297">
        <w:rPr>
          <w:sz w:val="24"/>
          <w:szCs w:val="24"/>
        </w:rPr>
        <w:fldChar w:fldCharType="begin"/>
      </w:r>
      <w:r>
        <w:rPr>
          <w:sz w:val="24"/>
          <w:szCs w:val="24"/>
        </w:rPr>
        <w:instrText xml:space="preserve"> ADDIN ZOTERO_ITEM CSL_CITATION {"citationID":"0DUGS7b5","properties":{"formattedCitation":"\\super 26\\nosupersub{}","plainCitation":"26","noteIndex":0},"citationItems":[{"id":40,"uris":["http://zotero.org/users/local/9pHoSXqz/items/3BK4JSZW"],"uri":["http://zotero.org/users/local/9pHoSXqz/items/3BK4JSZW"],"itemData":{"id":40,"type":"article-journal","container-title":"Gastroenterology","DOI":"10.1053/j.gastro.2013.07.041","ISSN":"00165085","issue":"5","journalAbbreviation":"Gastroenterology","language":"en","page":"996-1006","source":"DOI.org (Crossref)","title":"Risk of Surgery for Inflammatory Bowel Diseases Has Decreased Over Time: A Systematic Review and Meta-analysis of Population-Based Studies","title-short":"Risk of Surgery for Inflammatory Bowel Diseases Has Decreased Over Time","volume":"145","author":[{"family":"Frolkis","given":"Alexandra D."},{"family":"Dykeman","given":"Jonathan"},{"family":"Negrón","given":"María E."},{"family":"deBruyn","given":"Jennifer"},{"family":"Jette","given":"Nathalie"},{"family":"Fiest","given":"Kirsten M."},{"family":"Frolkis","given":"Talia"},{"family":"Barkema","given":"Herman W."},{"family":"Rioux","given":"Kevin P."},{"family":"Panaccione","given":"Remo"},{"family":"Ghosh","given":"Subrata"},{"family":"Wiebe","given":"Samuel"},{"family":"Kaplan","given":"Gilaad G."}],"issued":{"date-parts":[["2013",11]]}}}],"schema":"https://github.com/citation-style-language/schema/raw/master/csl-citation.json"}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26</w:t>
      </w:r>
      <w:r w:rsidRPr="00B04297">
        <w:rPr>
          <w:sz w:val="24"/>
          <w:szCs w:val="24"/>
        </w:rPr>
        <w:fldChar w:fldCharType="end"/>
      </w:r>
      <w:r w:rsidRPr="00B04297">
        <w:rPr>
          <w:sz w:val="24"/>
          <w:szCs w:val="24"/>
        </w:rPr>
        <w:t xml:space="preserve"> Surgery is not curative, and many patients require repeat surgery.</w:t>
      </w:r>
    </w:p>
    <w:p w14:paraId="559FCBDB" w14:textId="40EB91E3" w:rsidR="006D25DB" w:rsidRDefault="001E5203" w:rsidP="00704D76">
      <w:pPr>
        <w:pStyle w:val="Overskrift3"/>
        <w:spacing w:line="360" w:lineRule="auto"/>
        <w:jc w:val="both"/>
      </w:pPr>
      <w:bookmarkStart w:id="9" w:name="_Toc93326805"/>
      <w:r>
        <w:t>3</w:t>
      </w:r>
      <w:r w:rsidR="006D25DB">
        <w:t>. Methods</w:t>
      </w:r>
      <w:bookmarkEnd w:id="9"/>
    </w:p>
    <w:p w14:paraId="58E06ABB" w14:textId="6134BAEA" w:rsidR="006D25DB" w:rsidRPr="00D17179" w:rsidRDefault="00F10B65" w:rsidP="00704D76">
      <w:pPr>
        <w:spacing w:line="360" w:lineRule="auto"/>
        <w:jc w:val="both"/>
        <w:rPr>
          <w:sz w:val="24"/>
          <w:szCs w:val="24"/>
        </w:rPr>
      </w:pPr>
      <w:r w:rsidRPr="00D17179">
        <w:rPr>
          <w:sz w:val="24"/>
          <w:szCs w:val="24"/>
        </w:rPr>
        <w:t xml:space="preserve">These data were gathered using a non-systematic focused literature review and a series of search strings </w:t>
      </w:r>
      <w:r w:rsidR="001E5203" w:rsidRPr="00D17179">
        <w:rPr>
          <w:sz w:val="24"/>
          <w:szCs w:val="24"/>
        </w:rPr>
        <w:t xml:space="preserve">consisting of combinations of the search terms “Crohn disease”, “Crohn’s disease”, “risk factors”, </w:t>
      </w:r>
      <w:r w:rsidR="008E5595">
        <w:rPr>
          <w:sz w:val="24"/>
          <w:szCs w:val="24"/>
        </w:rPr>
        <w:t xml:space="preserve">“IBD”, “inflammatory bowel disease”, </w:t>
      </w:r>
      <w:r w:rsidR="001839A6">
        <w:rPr>
          <w:sz w:val="24"/>
          <w:szCs w:val="24"/>
        </w:rPr>
        <w:t xml:space="preserve">“exclusive enteral nutrition”, “partial enteral nutrition”, “short-chain fatty acids”, </w:t>
      </w:r>
      <w:r w:rsidR="008E5595">
        <w:rPr>
          <w:sz w:val="24"/>
          <w:szCs w:val="24"/>
        </w:rPr>
        <w:t xml:space="preserve">“food”, </w:t>
      </w:r>
      <w:r w:rsidR="001E5203" w:rsidRPr="00D17179">
        <w:rPr>
          <w:sz w:val="24"/>
          <w:szCs w:val="24"/>
        </w:rPr>
        <w:t>“diet”, “nutrition”, and “microbiome”. We searched the databases “PubMed”, “ResearchGate”, and “Google Scholar”.</w:t>
      </w:r>
      <w:r w:rsidR="00D17179">
        <w:rPr>
          <w:sz w:val="24"/>
          <w:szCs w:val="24"/>
        </w:rPr>
        <w:t xml:space="preserve"> </w:t>
      </w:r>
      <w:r w:rsidR="008E5595">
        <w:rPr>
          <w:sz w:val="24"/>
          <w:szCs w:val="24"/>
        </w:rPr>
        <w:t>Papers</w:t>
      </w:r>
      <w:r w:rsidR="00D17179">
        <w:rPr>
          <w:sz w:val="24"/>
          <w:szCs w:val="24"/>
        </w:rPr>
        <w:t xml:space="preserve"> of relevance were included, with no strict inclusion or exclusion criteria.</w:t>
      </w:r>
      <w:r w:rsidR="008E5595">
        <w:rPr>
          <w:sz w:val="24"/>
          <w:szCs w:val="24"/>
        </w:rPr>
        <w:t xml:space="preserve"> Studies not in English were </w:t>
      </w:r>
      <w:r w:rsidR="008E5595">
        <w:rPr>
          <w:sz w:val="24"/>
          <w:szCs w:val="24"/>
        </w:rPr>
        <w:lastRenderedPageBreak/>
        <w:t>excluded, however. In addition, studies were identified after cross-checking reference lists from the included papers.</w:t>
      </w:r>
      <w:r w:rsidR="00AF6CED">
        <w:rPr>
          <w:sz w:val="24"/>
          <w:szCs w:val="24"/>
        </w:rPr>
        <w:t xml:space="preserve"> Due to the similarities between Crohn disease and ulcerative colitis, some studies focusing on UC were considered as well.</w:t>
      </w:r>
    </w:p>
    <w:p w14:paraId="30C681D8" w14:textId="0068B448" w:rsidR="009E170D" w:rsidRDefault="001E5203" w:rsidP="00704D76">
      <w:pPr>
        <w:pStyle w:val="Overskrift3"/>
        <w:spacing w:line="360" w:lineRule="auto"/>
        <w:jc w:val="both"/>
      </w:pPr>
      <w:bookmarkStart w:id="10" w:name="_Toc93326806"/>
      <w:r>
        <w:t>4</w:t>
      </w:r>
      <w:r w:rsidR="009E170D">
        <w:t xml:space="preserve">. The role of the </w:t>
      </w:r>
      <w:r w:rsidR="00622CC5">
        <w:t xml:space="preserve">gut </w:t>
      </w:r>
      <w:r w:rsidR="009E170D">
        <w:t>microbiome in</w:t>
      </w:r>
      <w:r w:rsidR="00962F24">
        <w:t xml:space="preserve"> the pathophysiology of</w:t>
      </w:r>
      <w:r w:rsidR="009E170D">
        <w:t xml:space="preserve"> Crohn disease</w:t>
      </w:r>
      <w:bookmarkEnd w:id="10"/>
    </w:p>
    <w:p w14:paraId="1F670D43" w14:textId="2311248B" w:rsidR="008F07A8" w:rsidRDefault="00D17179" w:rsidP="00704D76">
      <w:pPr>
        <w:pStyle w:val="Overskrift4"/>
        <w:jc w:val="both"/>
      </w:pPr>
      <w:bookmarkStart w:id="11" w:name="_Toc93326807"/>
      <w:r>
        <w:t>4</w:t>
      </w:r>
      <w:r w:rsidR="008F07A8">
        <w:t>.1. The healthy human gut microbiome</w:t>
      </w:r>
      <w:bookmarkEnd w:id="11"/>
    </w:p>
    <w:p w14:paraId="64B70DC6" w14:textId="7A1F575A" w:rsidR="009D6F22" w:rsidRDefault="009D6F22" w:rsidP="00704D76">
      <w:pPr>
        <w:pStyle w:val="Ingenmellomrom"/>
        <w:spacing w:after="240" w:line="360" w:lineRule="auto"/>
        <w:jc w:val="both"/>
        <w:rPr>
          <w:sz w:val="24"/>
          <w:szCs w:val="24"/>
        </w:rPr>
      </w:pPr>
      <w:r w:rsidRPr="00B04297">
        <w:rPr>
          <w:sz w:val="24"/>
          <w:szCs w:val="24"/>
        </w:rPr>
        <w:t>A m</w:t>
      </w:r>
      <w:r w:rsidR="00344F67" w:rsidRPr="00B04297">
        <w:rPr>
          <w:sz w:val="24"/>
          <w:szCs w:val="24"/>
        </w:rPr>
        <w:t xml:space="preserve">etagenomic sequencing of the </w:t>
      </w:r>
      <w:r w:rsidR="007B6302" w:rsidRPr="00B04297">
        <w:rPr>
          <w:sz w:val="24"/>
          <w:szCs w:val="24"/>
        </w:rPr>
        <w:t xml:space="preserve">healthy </w:t>
      </w:r>
      <w:r w:rsidR="00344F67" w:rsidRPr="00B04297">
        <w:rPr>
          <w:sz w:val="24"/>
          <w:szCs w:val="24"/>
        </w:rPr>
        <w:t xml:space="preserve">human gut </w:t>
      </w:r>
      <w:r w:rsidRPr="00B04297">
        <w:rPr>
          <w:sz w:val="24"/>
          <w:szCs w:val="24"/>
        </w:rPr>
        <w:t>has determined that it contains bacterial, archaeal, eukaryotic, and viral genes, with 99,1% of the genes being bacterial.</w:t>
      </w:r>
      <w:r w:rsidRPr="00B04297">
        <w:rPr>
          <w:sz w:val="24"/>
          <w:szCs w:val="24"/>
        </w:rPr>
        <w:fldChar w:fldCharType="begin"/>
      </w:r>
      <w:r w:rsidR="00F57E1D">
        <w:rPr>
          <w:sz w:val="24"/>
          <w:szCs w:val="24"/>
        </w:rPr>
        <w:instrText xml:space="preserve"> ADDIN ZOTERO_ITEM CSL_CITATION {"citationID":"094vmY5a","properties":{"formattedCitation":"\\super 27\\nosupersub{}","plainCitation":"27","noteIndex":0},"citationItems":[{"id":44,"uris":["http://zotero.org/users/local/9pHoSXqz/items/V7XE2IM5"],"uri":["http://zotero.org/users/local/9pHoSXqz/items/V7XE2IM5"],"itemData":{"id":44,"type":"article-journal","container-title":"Nature","DOI":"10.1038/nature08821","ISSN":"0028-0836, 1476-4687","issue":"7285","journalAbbreviation":"Nature","language":"en","page":"59-65","source":"DOI.org (Crossref)","title":"A human gut microbial gene catalogue established by metagenomic sequencing","volume":"464","author":[{"literal":"MetaHIT Consortium"},{"family":"Qin","given":"Junjie"},{"family":"Li","given":"Ruiqiang"},{"family":"Raes","given":"Jeroen"},{"family":"Arumugam","given":"Manimozhiyan"},{"family":"Burgdorf","given":"Kristoffer Solvsten"},{"family":"Manichanh","given":"Chaysavanh"},{"family":"Nielsen","given":"Trine"},{"family":"Pons","given":"Nicolas"},{"family":"Levenez","given":"Florence"},{"family":"Yamada","given":"Takuji"},{"family":"Mende","given":"Daniel R."},{"family":"Li","given":"Junhua"},{"family":"Xu","given":"Junming"},{"family":"Li","given":"Shaochuan"},{"family":"Li","given":"Dongfang"},{"family":"Cao","given":"Jianjun"},{"family":"Wang","given":"Bo"},{"family":"Liang","given":"Huiqing"},{"family":"Zheng","given":"Huisong"},{"family":"Xie","given":"Yinlong"},{"family":"Tap","given":"Julien"},{"family":"Lepage","given":"Patricia"},{"family":"Bertalan","given":"Marcelo"},{"family":"Batto","given":"Jean-Michel"},{"family":"Hansen","given":"Torben"},{"family":"Le Paslier","given":"Denis"},{"family":"Linneberg","given":"Allan"},{"family":"Nielsen","given":"H. Bjørn"},{"family":"Pelletier","given":"Eric"},{"family":"Renault","given":"Pierre"},{"family":"Sicheritz-Ponten","given":"Thomas"},{"family":"Turner","given":"Keith"},{"family":"Zhu","given":"Hongmei"},{"family":"Yu","given":"Chang"},{"family":"Li","given":"Shengting"},{"family":"Jian","given":"Min"},{"family":"Zhou","given":"Yan"},{"family":"Li","given":"Yingrui"},{"family":"Zhang","given":"Xiuqing"},{"family":"Li","given":"Songgang"},{"family":"Qin","given":"Nan"},{"family":"Yang","given":"Huanming"},{"family":"Wang","given":"Jian"},{"family":"Brunak","given":"Søren"},{"family":"Doré","given":"Joel"},{"family":"Guarner","given":"Francisco"},{"family":"Kristiansen","given":"Karsten"},{"family":"Pedersen","given":"Oluf"},{"family":"Parkhill","given":"Julian"},{"family":"Weissenbach","given":"Jean"},{"family":"Bork","given":"Peer"},{"family":"Ehrlich","given":"S. Dusko"},{"family":"Wang","given":"Jun"}],"issued":{"date-parts":[["2010",3]]}}}],"schema":"https://github.com/citation-style-language/schema/raw/master/csl-citation.json"} </w:instrText>
      </w:r>
      <w:r w:rsidRPr="00B04297">
        <w:rPr>
          <w:sz w:val="24"/>
          <w:szCs w:val="24"/>
        </w:rPr>
        <w:fldChar w:fldCharType="separate"/>
      </w:r>
      <w:r w:rsidR="00F57E1D" w:rsidRPr="00F57E1D">
        <w:rPr>
          <w:rFonts w:ascii="Calibri" w:hAnsi="Calibri" w:cs="Calibri"/>
          <w:sz w:val="24"/>
          <w:szCs w:val="24"/>
          <w:vertAlign w:val="superscript"/>
        </w:rPr>
        <w:t>27</w:t>
      </w:r>
      <w:r w:rsidRPr="00B04297">
        <w:rPr>
          <w:sz w:val="24"/>
          <w:szCs w:val="24"/>
        </w:rPr>
        <w:fldChar w:fldCharType="end"/>
      </w:r>
      <w:r w:rsidRPr="00B04297">
        <w:rPr>
          <w:sz w:val="24"/>
          <w:szCs w:val="24"/>
        </w:rPr>
        <w:t xml:space="preserve"> Estimated number of different detectable bacterial species in each individual was at least 160, but across the whole </w:t>
      </w:r>
      <w:r w:rsidR="007B6302" w:rsidRPr="00B04297">
        <w:rPr>
          <w:sz w:val="24"/>
          <w:szCs w:val="24"/>
        </w:rPr>
        <w:t xml:space="preserve">cohort approximately 1150 different bacterial species were estimated. </w:t>
      </w:r>
      <w:r w:rsidR="004261B4">
        <w:rPr>
          <w:sz w:val="24"/>
          <w:szCs w:val="24"/>
        </w:rPr>
        <w:t xml:space="preserve">The most represented bacteria phyla, which accounted for 90% of those represented, were </w:t>
      </w:r>
      <w:r w:rsidR="004261B4">
        <w:rPr>
          <w:i/>
          <w:iCs/>
          <w:sz w:val="24"/>
          <w:szCs w:val="24"/>
        </w:rPr>
        <w:t xml:space="preserve">Firmicutes, Bacteroidetes, Proteobacteria, </w:t>
      </w:r>
      <w:r w:rsidR="004261B4">
        <w:rPr>
          <w:sz w:val="24"/>
          <w:szCs w:val="24"/>
        </w:rPr>
        <w:t xml:space="preserve">and </w:t>
      </w:r>
      <w:r w:rsidR="004261B4">
        <w:rPr>
          <w:i/>
          <w:iCs/>
          <w:sz w:val="24"/>
          <w:szCs w:val="24"/>
        </w:rPr>
        <w:t>Actinobacteria</w:t>
      </w:r>
      <w:r w:rsidR="004261B4">
        <w:rPr>
          <w:sz w:val="24"/>
          <w:szCs w:val="24"/>
        </w:rPr>
        <w:t xml:space="preserve">. </w:t>
      </w:r>
    </w:p>
    <w:p w14:paraId="0AA0CFE2" w14:textId="326E17FB" w:rsidR="00A60DD9" w:rsidRDefault="00622CC5" w:rsidP="00704D76">
      <w:pPr>
        <w:pStyle w:val="Ingenmellomrom"/>
        <w:spacing w:after="240" w:line="360" w:lineRule="auto"/>
        <w:jc w:val="both"/>
        <w:rPr>
          <w:sz w:val="24"/>
          <w:szCs w:val="24"/>
        </w:rPr>
      </w:pPr>
      <w:r>
        <w:rPr>
          <w:sz w:val="24"/>
          <w:szCs w:val="24"/>
        </w:rPr>
        <w:t>Most gut microbes are either harmless or of benefit to the host. The gut microbiome is involved in extracting nutrients from our diets, protecting against gastrointestinal pathogens, and maturation and normal function of the immune system.</w:t>
      </w:r>
      <w:r>
        <w:rPr>
          <w:sz w:val="24"/>
          <w:szCs w:val="24"/>
        </w:rPr>
        <w:fldChar w:fldCharType="begin"/>
      </w:r>
      <w:r w:rsidR="00F57E1D">
        <w:rPr>
          <w:sz w:val="24"/>
          <w:szCs w:val="24"/>
        </w:rPr>
        <w:instrText xml:space="preserve"> ADDIN ZOTERO_ITEM CSL_CITATION {"citationID":"XmWdR1P4","properties":{"formattedCitation":"\\super 28,29\\nosupersub{}","plainCitation":"28,29","noteIndex":0},"citationItems":[{"id":50,"uris":["http://zotero.org/users/local/9pHoSXqz/items/568JQSMA"],"uri":["http://zotero.org/users/local/9pHoSXqz/items/568JQSMA"],"itemData":{"id":50,"type":"article-journal","container-title":"Nature","DOI":"10.1038/nature11550","ISSN":"0028-0836, 1476-4687","issue":"7415","journalAbbreviation":"Nature","language":"en","page":"220-230","source":"DOI.org (Crossref)","title":"Diversity, stability and resilience of the human gut microbiota","volume":"489","author":[{"family":"Lozupone","given":"Catherine A."},{"family":"Stombaugh","given":"Jesse I."},{"family":"Gordon","given":"Jeffrey I."},{"family":"Jansson","given":"Janet K."},{"family":"Knight","given":"Rob"}],"issued":{"date-parts":[["2012",9]]}}},{"id":10,"uris":["http://zotero.org/users/local/9pHoSXqz/items/DJZL9VFG"],"uri":["http://zotero.org/users/local/9pHoSXqz/items/DJZL9VFG"],"itemData":{"id":10,"type":"article-journal","abstract":"Inﬂammatory bowel disease (IBD) is a chronic relapsing–remitting systemic disease of the gastrointestinal tract, characterized by an inﬂammatory process that requires lifelong treatment. The underlying causes of IBD are still unclear, as this heterogeneous disorder results from a complex interplay between genetic variability, the host immune system and environmental factors. The current knowledge recognizes diet as a risk factor for the development of IBD and attributes a substantial pathogenic role to the intestinal dysbiosis inducing an aberrant mucosal immune response in genetically predisposed individuals. This review focused on the clinical evidence available that considers the impact of some nutrients on IBD onset and the role of diﬀerent diets in the management of IBD and their eﬀects on the gut microbiota composition. The eﬀects of the Speciﬁc Carbohydrate Diet, low fermentable oligosaccharides, disaccharides, monosaccharides and polyols (FODMAP) diet, gluten free diet, anti-inﬂammatory diet and Mediterranean diet are investigated with regard to their impact on microbiota and on the evolution of the disease. At present, no clear indications toward a speciﬁc diet are available but the assessment of dysbiosis prior to the recommendation of a speciﬁc diet should become a standard clinical approach in order to achieve a personalized therapy.","container-title":"Nutrients","DOI":"10.3390/nu12040944","ISSN":"2072-6643","issue":"4","journalAbbreviation":"Nutrients","language":"en","page":"944","source":"DOI.org (Crossref)","title":"Nutrition, IBD and Gut Microbiota: A Review","title-short":"Nutrition, IBD and Gut Microbiota","volume":"12","author":[{"family":"Mentella","given":"Maria Chiara"},{"family":"Scaldaferri","given":"Franco"},{"family":"Pizzoferrato","given":"Marco"},{"family":"Gasbarrini","given":"Antonio"},{"family":"Miggiano","given":"Giacinto Abele Donato"}],"issued":{"date-parts":[["2020",3,29]]}}}],"schema":"https://github.com/citation-style-language/schema/raw/master/csl-citation.json"} </w:instrText>
      </w:r>
      <w:r>
        <w:rPr>
          <w:sz w:val="24"/>
          <w:szCs w:val="24"/>
        </w:rPr>
        <w:fldChar w:fldCharType="separate"/>
      </w:r>
      <w:r w:rsidR="00F57E1D" w:rsidRPr="00F57E1D">
        <w:rPr>
          <w:rFonts w:ascii="Calibri" w:hAnsi="Calibri" w:cs="Calibri"/>
          <w:sz w:val="24"/>
          <w:szCs w:val="24"/>
          <w:vertAlign w:val="superscript"/>
        </w:rPr>
        <w:t>28,29</w:t>
      </w:r>
      <w:r>
        <w:rPr>
          <w:sz w:val="24"/>
          <w:szCs w:val="24"/>
        </w:rPr>
        <w:fldChar w:fldCharType="end"/>
      </w:r>
      <w:r>
        <w:rPr>
          <w:sz w:val="24"/>
          <w:szCs w:val="24"/>
        </w:rPr>
        <w:t xml:space="preserve"> </w:t>
      </w:r>
      <w:r w:rsidR="004261B4">
        <w:rPr>
          <w:sz w:val="24"/>
          <w:szCs w:val="24"/>
        </w:rPr>
        <w:t xml:space="preserve">The human gut is colonised at birth, with the composition changing </w:t>
      </w:r>
      <w:r>
        <w:rPr>
          <w:sz w:val="24"/>
          <w:szCs w:val="24"/>
        </w:rPr>
        <w:t xml:space="preserve">during the first one to three years of life. </w:t>
      </w:r>
      <w:r w:rsidR="009826C9">
        <w:rPr>
          <w:sz w:val="24"/>
          <w:szCs w:val="24"/>
        </w:rPr>
        <w:t>During this period, the microbiome is establishing, rendering them particularly susceptible to external factors, like antibiotic use and diet.</w:t>
      </w:r>
      <w:r w:rsidR="009826C9">
        <w:rPr>
          <w:sz w:val="24"/>
          <w:szCs w:val="24"/>
        </w:rPr>
        <w:fldChar w:fldCharType="begin"/>
      </w:r>
      <w:r w:rsidR="00F57E1D">
        <w:rPr>
          <w:sz w:val="24"/>
          <w:szCs w:val="24"/>
        </w:rPr>
        <w:instrText xml:space="preserve"> ADDIN ZOTERO_ITEM CSL_CITATION {"citationID":"BJurPOUP","properties":{"formattedCitation":"\\super 30,31\\nosupersub{}","plainCitation":"30,31","noteIndex":0},"citationItems":[{"id":56,"uris":["http://zotero.org/users/local/9pHoSXqz/items/XSNTG99U"],"uri":["http://zotero.org/users/local/9pHoSXqz/items/XSNTG99U"],"itemData":{"id":56,"type":"article-journal","abstract":"To what extent do host genetics control the composition of the gut microbiome? Studies comparing the gut microbiota in human twins and across inbred mouse lines have yielded inconsistent answers to this question. However, candidate gene approaches, in which one gene is deleted or added to a model host organism, show that a single host gene can have a tremendous effect on the diversity and population structure of the gut microbiota. Now, quantitative genetics is emerging as a highly promising approach that can be used to better understand the overall architecture of host genetic influence on the microbiota, and to discover additional host genes controlling microbial diversity in the gut. In this Review, we describe how host genetics and the environment shape the microbiota, and how these three factors may interact in the context of chronic disease.","container-title":"Nature Reviews. Microbiology","DOI":"10.1038/nrmicro2540","ISSN":"1740-1534","issue":"4","journalAbbreviation":"Nat Rev Microbiol","language":"eng","note":"PMID: 21407244","page":"279-290","source":"PubMed","title":"Unravelling the effects of the environment and host genotype on the gut microbiome","volume":"9","author":[{"family":"Spor","given":"Aymé"},{"family":"Koren","given":"Omry"},{"family":"Ley","given":"Ruth"}],"issued":{"date-parts":[["2011",4]]}}},{"id":58,"uris":["http://zotero.org/users/local/9pHoSXqz/items/9PKJMA2I"],"uri":["http://zotero.org/users/local/9pHoSXqz/items/9PKJMA2I"],"itemData":{"id":58,"type":"article-journal","abstract":"OBJECTIVES: The development of commensal flora in infants has been shown to be sensitive to antibiotic use. Altered intestinal flora is thought to contribute to the etiology of inflammatory bowel disease (IBD), an idiopathic chronic condition. We aimed to determine if early use of antibiotics was associated with the development of IBD in childhood.\nMETHODS: Nested case-control analysis of the population-based University of Manitoba Inflammatory Bowel Disease Epidemiologic Database was carried out. IBD status was determined from a validated administrative database definition. A total of 36 subjects diagnosed between 1996 and 2008 were matched to 360 controls, on the basis of age, sex, and geographic region. Antibiotic data were drawn from the Manitoba Drug Program Information Network, a comprehensive population-based database of all prescription drugs for all Manitobans dating back to 1995. Antibiotic use in the first year of life was compared between IBD cases and controls.\nRESULTS: The mean age at IBD diagnosis was 8.4 years. Twenty-one cases (58%) had one or more antibiotic dispensations in their first year of life compared with 39% of controls. Crohn's disease was diagnosed in 75% of IBD cases. Those receiving one or more dispensations of antibiotics were at 2.9 times the odds (95% confidence interval: 1.2, 7.0) of being an IBD case.\nCONCLUSIONS: Subjects diagnosed with IBD in childhood are more likely to have used antibiotics in their first year of life.","container-title":"The American Journal of Gastroenterology","DOI":"10.1038/ajg.2010.398","ISSN":"1572-0241","issue":"12","journalAbbreviation":"Am J Gastroenterol","language":"eng","note":"PMID: 20940708","page":"2687-2692","source":"PubMed","title":"Association between the use of antibiotics in the first year of life and pediatric inflammatory bowel disease","volume":"105","author":[{"family":"Shaw","given":"Souradet Y."},{"family":"Blanchard","given":"James F."},{"family":"Bernstein","given":"Charles N."}],"issued":{"date-parts":[["2010",12]]}}}],"schema":"https://github.com/citation-style-language/schema/raw/master/csl-citation.json"} </w:instrText>
      </w:r>
      <w:r w:rsidR="009826C9">
        <w:rPr>
          <w:sz w:val="24"/>
          <w:szCs w:val="24"/>
        </w:rPr>
        <w:fldChar w:fldCharType="separate"/>
      </w:r>
      <w:r w:rsidR="00F57E1D" w:rsidRPr="00F57E1D">
        <w:rPr>
          <w:rFonts w:ascii="Calibri" w:hAnsi="Calibri" w:cs="Calibri"/>
          <w:sz w:val="24"/>
          <w:szCs w:val="24"/>
          <w:vertAlign w:val="superscript"/>
        </w:rPr>
        <w:t>30,31</w:t>
      </w:r>
      <w:r w:rsidR="009826C9">
        <w:rPr>
          <w:sz w:val="24"/>
          <w:szCs w:val="24"/>
        </w:rPr>
        <w:fldChar w:fldCharType="end"/>
      </w:r>
      <w:r w:rsidR="009826C9">
        <w:rPr>
          <w:sz w:val="24"/>
          <w:szCs w:val="24"/>
        </w:rPr>
        <w:t xml:space="preserve"> </w:t>
      </w:r>
    </w:p>
    <w:p w14:paraId="6D2A9A10" w14:textId="4733CA62" w:rsidR="00EC7A3E" w:rsidRDefault="00622CC5" w:rsidP="00704D76">
      <w:pPr>
        <w:pStyle w:val="Ingenmellomrom"/>
        <w:spacing w:after="240" w:line="360" w:lineRule="auto"/>
        <w:jc w:val="both"/>
        <w:rPr>
          <w:sz w:val="24"/>
          <w:szCs w:val="24"/>
        </w:rPr>
      </w:pPr>
      <w:r>
        <w:rPr>
          <w:sz w:val="24"/>
          <w:szCs w:val="24"/>
        </w:rPr>
        <w:t xml:space="preserve">The gut microbiome </w:t>
      </w:r>
      <w:r w:rsidR="00EC7A3E">
        <w:rPr>
          <w:sz w:val="24"/>
          <w:szCs w:val="24"/>
        </w:rPr>
        <w:t xml:space="preserve">has mechanisms to protects its composition and diversity and is therefore </w:t>
      </w:r>
      <w:r>
        <w:rPr>
          <w:sz w:val="24"/>
          <w:szCs w:val="24"/>
        </w:rPr>
        <w:t>relatively resilient to external factors</w:t>
      </w:r>
      <w:r w:rsidR="00EC7A3E">
        <w:rPr>
          <w:sz w:val="24"/>
          <w:szCs w:val="24"/>
        </w:rPr>
        <w:t>. However,</w:t>
      </w:r>
      <w:r>
        <w:rPr>
          <w:sz w:val="24"/>
          <w:szCs w:val="24"/>
        </w:rPr>
        <w:t xml:space="preserve"> this resistance </w:t>
      </w:r>
      <w:r w:rsidR="00EC7A3E">
        <w:rPr>
          <w:sz w:val="24"/>
          <w:szCs w:val="24"/>
        </w:rPr>
        <w:t>c</w:t>
      </w:r>
      <w:r>
        <w:rPr>
          <w:sz w:val="24"/>
          <w:szCs w:val="24"/>
        </w:rPr>
        <w:t xml:space="preserve">an be overcome by </w:t>
      </w:r>
      <w:r w:rsidR="00EC7A3E">
        <w:rPr>
          <w:sz w:val="24"/>
          <w:szCs w:val="24"/>
        </w:rPr>
        <w:t xml:space="preserve">long-term changes in </w:t>
      </w:r>
      <w:r>
        <w:rPr>
          <w:sz w:val="24"/>
          <w:szCs w:val="24"/>
        </w:rPr>
        <w:t>diet, drugs, prebiotics, or probiotics</w:t>
      </w:r>
      <w:r w:rsidR="00EC7A3E">
        <w:rPr>
          <w:sz w:val="24"/>
          <w:szCs w:val="24"/>
        </w:rPr>
        <w:t xml:space="preserve">. In the absence of these factors, the gut microbiome stays </w:t>
      </w:r>
      <w:r w:rsidR="00A60DD9">
        <w:rPr>
          <w:sz w:val="24"/>
          <w:szCs w:val="24"/>
        </w:rPr>
        <w:t>relatively constant.</w:t>
      </w:r>
      <w:r w:rsidR="00A60DD9">
        <w:rPr>
          <w:sz w:val="24"/>
          <w:szCs w:val="24"/>
        </w:rPr>
        <w:fldChar w:fldCharType="begin"/>
      </w:r>
      <w:r w:rsidR="00F57E1D">
        <w:rPr>
          <w:sz w:val="24"/>
          <w:szCs w:val="24"/>
        </w:rPr>
        <w:instrText xml:space="preserve"> ADDIN ZOTERO_ITEM CSL_CITATION {"citationID":"WXcXzWzA","properties":{"formattedCitation":"\\super 32\\nosupersub{}","plainCitation":"32","noteIndex":0},"citationItems":[{"id":52,"uris":["http://zotero.org/users/local/9pHoSXqz/items/QZ6CPFCQ"],"uri":["http://zotero.org/users/local/9pHoSXqz/items/QZ6CPFCQ"],"itemData":{"id":52,"type":"article-journal","container-title":"Nature","DOI":"10.1038/nature11053","ISSN":"0028-0836, 1476-4687","issue":"7402","journalAbbreviation":"Nature","language":"en","page":"222-227","source":"DOI.org (Crossref)","title":"Human gut microbiome viewed across age and geography","volume":"486","author":[{"family":"Yatsunenko","given":"Tanya"},{"family":"Rey","given":"Federico E."},{"family":"Manary","given":"Mark J."},{"family":"Trehan","given":"Indi"},{"family":"Dominguez-Bello","given":"Maria Gloria"},{"family":"Contreras","given":"Monica"},{"family":"Magris","given":"Magda"},{"family":"Hidalgo","given":"Glida"},{"family":"Baldassano","given":"Robert N."},{"family":"Anokhin","given":"Andrey P."},{"family":"Heath","given":"Andrew C."},{"family":"Warner","given":"Barbara"},{"family":"Reeder","given":"Jens"},{"family":"Kuczynski","given":"Justin"},{"family":"Caporaso","given":"J. Gregory"},{"family":"Lozupone","given":"Catherine A."},{"family":"Lauber","given":"Christian"},{"family":"Clemente","given":"Jose Carlos"},{"family":"Knights","given":"Dan"},{"family":"Knight","given":"Rob"},{"family":"Gordon","given":"Jeffrey I."}],"issued":{"date-parts":[["2012",6]]}}}],"schema":"https://github.com/citation-style-language/schema/raw/master/csl-citation.json"} </w:instrText>
      </w:r>
      <w:r w:rsidR="00A60DD9">
        <w:rPr>
          <w:sz w:val="24"/>
          <w:szCs w:val="24"/>
        </w:rPr>
        <w:fldChar w:fldCharType="separate"/>
      </w:r>
      <w:r w:rsidR="00F57E1D" w:rsidRPr="00F57E1D">
        <w:rPr>
          <w:rFonts w:ascii="Calibri" w:hAnsi="Calibri" w:cs="Calibri"/>
          <w:sz w:val="24"/>
          <w:szCs w:val="24"/>
          <w:vertAlign w:val="superscript"/>
        </w:rPr>
        <w:t>32</w:t>
      </w:r>
      <w:r w:rsidR="00A60DD9">
        <w:rPr>
          <w:sz w:val="24"/>
          <w:szCs w:val="24"/>
        </w:rPr>
        <w:fldChar w:fldCharType="end"/>
      </w:r>
    </w:p>
    <w:p w14:paraId="28E7E8D2" w14:textId="6B14656B" w:rsidR="008F07A8" w:rsidRPr="004261B4" w:rsidRDefault="008F07A8" w:rsidP="00704D76">
      <w:pPr>
        <w:pStyle w:val="Ingenmellomrom"/>
        <w:spacing w:after="240" w:line="360" w:lineRule="auto"/>
        <w:jc w:val="both"/>
        <w:rPr>
          <w:sz w:val="24"/>
          <w:szCs w:val="24"/>
        </w:rPr>
      </w:pPr>
      <w:r>
        <w:rPr>
          <w:sz w:val="24"/>
          <w:szCs w:val="24"/>
        </w:rPr>
        <w:t>Short-chain fatty acids such as acetate, butyrate, and propionate, are the main products of intestinal bacterial fermentation dietary fibre. SCFAs, especially butyrate, are recognised as having anti-inflammatory effects both in vitro and in vivo.</w:t>
      </w:r>
      <w:r>
        <w:rPr>
          <w:sz w:val="24"/>
          <w:szCs w:val="24"/>
        </w:rPr>
        <w:fldChar w:fldCharType="begin"/>
      </w:r>
      <w:r>
        <w:rPr>
          <w:sz w:val="24"/>
          <w:szCs w:val="24"/>
        </w:rPr>
        <w:instrText xml:space="preserve"> ADDIN ZOTERO_ITEM CSL_CITATION {"citationID":"m1HXT47W","properties":{"formattedCitation":"\\super 33\\uc0\\u8211{}35\\nosupersub{}","plainCitation":"33–35","noteIndex":0},"citationItems":[{"id":75,"uris":["http://zotero.org/users/local/9pHoSXqz/items/CZLQLXY9"],"uri":["http://zotero.org/users/local/9pHoSXqz/items/CZLQLXY9"],"itemData":{"id":75,"type":"article-journal","container-title":"Journal of Parenteral and Enteral Nutrition","DOI":"10.1177/014860719902300518","ISSN":"0148-6071, 1941-2444","issue":"5_suppl","journalAbbreviation":"JPEN J Parenter Enteral Nutr","language":"en","page":"S70-S73","source":"DOI.org (Crossref)","title":"Physiological and Anti-Inflammatory Roles of Dietary Fiber and Butyrate in Intestinal Functions","volume":"23","author":[{"family":"Andoh","given":"Akira"},{"family":"Bamba","given":"Tadao"},{"family":"Sasaki","given":"Masaya"}],"issued":{"date-parts":[["1999",9]]}}},{"id":76,"uris":["http://zotero.org/users/local/9pHoSXqz/items/9LGBKZXV"],"uri":["http://zotero.org/users/local/9pHoSXqz/items/9LGBKZXV"],"itemData":{"id":76,"type":"article-journal","container-title":"World Journal of Gastroenterology","DOI":"10.3748/wjg.v13.i20.2826","ISSN":"1007-9327","issue":"20","journalAbbreviation":"WJG","language":"en","page":"2826","source":"DOI.org (Crossref)","title":"Anti-inflammatory properties of the short-chain fatty acids acetate and propionate: A study with relevance to inflammatory bowel disease","title-short":"Anti-inflammatory properties of the short-chain fatty acids acetate and propionate","volume":"13","author":[{"family":"Tedelind","given":"Sofia"},{"family":"Westberg","given":"Fredrik"},{"family":"Kjerrulf","given":"Martin"},{"family":"Vidal","given":"Alexander"}],"issued":{"date-parts":[["2007"]]}}},{"id":78,"uris":["http://zotero.org/users/local/9pHoSXqz/items/JTFYE66X"],"uri":["http://zotero.org/users/local/9pHoSXqz/items/JTFYE66X"],"itemData":{"id":78,"type":"article-journal","container-title":"Gut","DOI":"10.1136/gut.47.3.397","ISSN":"00175749","issue":"3","page":"397-403","source":"DOI.org (Crossref)","title":"Butyrate inhibits inflammatory responses through NFkappa B inhibition: implications for Crohn's disease","title-short":"Butyrate inhibits inflammatory responses through NFkappa B inhibition","volume":"47","author":[{"family":"Segain","given":"J-P"}],"issued":{"date-parts":[["2000",9,1]]}}}],"schema":"https://github.com/citation-style-language/schema/raw/master/csl-citation.json"} </w:instrText>
      </w:r>
      <w:r>
        <w:rPr>
          <w:sz w:val="24"/>
          <w:szCs w:val="24"/>
        </w:rPr>
        <w:fldChar w:fldCharType="separate"/>
      </w:r>
      <w:r w:rsidRPr="008F07A8">
        <w:rPr>
          <w:rFonts w:ascii="Calibri" w:hAnsi="Calibri" w:cs="Calibri"/>
          <w:sz w:val="24"/>
          <w:szCs w:val="24"/>
          <w:vertAlign w:val="superscript"/>
        </w:rPr>
        <w:t>33–35</w:t>
      </w:r>
      <w:r>
        <w:rPr>
          <w:sz w:val="24"/>
          <w:szCs w:val="24"/>
        </w:rPr>
        <w:fldChar w:fldCharType="end"/>
      </w:r>
      <w:r>
        <w:rPr>
          <w:sz w:val="24"/>
          <w:szCs w:val="24"/>
        </w:rPr>
        <w:t xml:space="preserve"> SCFAs are sources of energy for the human host, but they also interact with the </w:t>
      </w:r>
      <w:r>
        <w:rPr>
          <w:sz w:val="24"/>
          <w:szCs w:val="24"/>
        </w:rPr>
        <w:lastRenderedPageBreak/>
        <w:t>immune system by acting as signal transduction molecules via G-protein coupled receptors, as epigenetic regulators of gene expression by inhibition of histone deacetylate, and as inhibitors of NF-κB.</w:t>
      </w:r>
      <w:r>
        <w:rPr>
          <w:sz w:val="24"/>
          <w:szCs w:val="24"/>
        </w:rPr>
        <w:fldChar w:fldCharType="begin"/>
      </w:r>
      <w:r>
        <w:rPr>
          <w:sz w:val="24"/>
          <w:szCs w:val="24"/>
        </w:rPr>
        <w:instrText xml:space="preserve"> ADDIN ZOTERO_ITEM CSL_CITATION {"citationID":"uacIJCNX","properties":{"formattedCitation":"\\super 35\\uc0\\u8211{}37\\nosupersub{}","plainCitation":"35–37","noteIndex":0},"citationItems":[{"id":78,"uris":["http://zotero.org/users/local/9pHoSXqz/items/JTFYE66X"],"uri":["http://zotero.org/users/local/9pHoSXqz/items/JTFYE66X"],"itemData":{"id":78,"type":"article-journal","container-title":"Gut","DOI":"10.1136/gut.47.3.397","ISSN":"00175749","issue":"3","page":"397-403","source":"DOI.org (Crossref)","title":"Butyrate inhibits inflammatory responses through NFkappa B inhibition: implications for Crohn's disease","title-short":"Butyrate inhibits inflammatory responses through NFkappa B inhibition","volume":"47","author":[{"family":"Segain","given":"J-P"}],"issued":{"date-parts":[["2000",9,1]]}}},{"id":73,"uris":["http://zotero.org/users/local/9pHoSXqz/items/9EFUYZQH"],"uri":["http://zotero.org/users/local/9pHoSXqz/items/9EFUYZQH"],"itemData":{"id":73,"type":"article-journal","container-title":"Nutrients","DOI":"10.3390/nu7042839","ISSN":"2072-6643","issue":"4","journalAbbreviation":"Nutrients","language":"en","page":"2839-2849","source":"DOI.org (Crossref)","title":"Dietary Gut Microbial Metabolites, Short-chain Fatty Acids, and Host Metabolic Regulation","volume":"7","author":[{"family":"Kasubuchi","given":"Mayu"},{"family":"Hasegawa","given":"Sae"},{"family":"Hiramatsu","given":"Takero"},{"family":"Ichimura","given":"Atsuhiko"},{"family":"Kimura","given":"Ikuo"}],"issued":{"date-parts":[["2015",4,14]]}}},{"id":92,"uris":["http://zotero.org/users/local/9pHoSXqz/items/YE5NKKRB"],"uri":["http://zotero.org/users/local/9pHoSXqz/items/YE5NKKRB"],"itemData":{"id":92,"type":"article-journal","abstract":"A decrease in the abundance and biodiversity of intestinal bacteria within the dominant phylum Firmicutes has been observed repeatedly in Crohn disease (CD) patients. In this study, we determined the composition of the mucosa-associated microbiota of CD patients at the time of surgical resection and 6 months later using FISH analysis. We found that a reduction of a major member of Firmicutes, Faecalibacterium prausnitzii, is associated with a higher risk of postoperative recurrence of ileal CD. A lower proportion of F. prausnitzii on resected ileal Crohn mucosa also was associated with endoscopic recurrence at 6 months. To evaluate the immunomodulatory properties of F. prausnitzii we analyzed the anti-inflammatory effects of F. prausnitzii in both in vitro (cellular models) and in vivo [2,4,6-trinitrobenzenesulphonic acid (TNBS)-induced] colitis in mice. In Caco-2 cells transfected with a reporter gene for NF-kappaB activity, F. prausnitzii had no effect on IL-1beta-induced NF-kappaB activity, whereas the supernatant abolished it. In vitro peripheral blood mononuclear cell stimulation by F. prausnitzii led to significantly lower IL-12 and IFN-gamma production levels and higher secretion of IL-10. Oral administration of either live F. prausnitzii or its supernatant markedly reduced the severity of TNBS colitis and tended to correct the dysbiosis associated with TNBS colitis, as demonstrated by real-time quantitative PCR (qPCR) analysis. F. prausnitzii exhibits anti-inflammatory effects on cellular and TNBS colitis models, partly due to secreted metabolites able to block NF-kappaB activation and IL-8 production. These results suggest that counterbalancing dysbiosis using F. prausnitzii as a probiotic is a promising strategy in CD treatment.","container-title":"Proceedings of the National Academy of Sciences of the United States of America","DOI":"10.1073/pnas.0804812105","ISSN":"1091-6490","issue":"43","journalAbbreviation":"Proc Natl Acad Sci U S A","language":"eng","note":"PMID: 18936492\nPMCID: PMC2575488","page":"16731-16736","source":"PubMed","title":"Faecalibacterium prausnitzii is an anti-inflammatory commensal bacterium identified by gut microbiota analysis of Crohn disease patients","volume":"105","author":[{"family":"Sokol","given":"Harry"},{"family":"Pigneur","given":"Bénédicte"},{"family":"Watterlot","given":"Laurie"},{"family":"Lakhdari","given":"Omar"},{"family":"Bermúdez-Humarán","given":"Luis G."},{"family":"Gratadoux","given":"Jean-Jacques"},{"family":"Blugeon","given":"Sébastien"},{"family":"Bridonneau","given":"Chantal"},{"family":"Furet","given":"Jean-Pierre"},{"family":"Corthier","given":"Gérard"},{"family":"Grangette","given":"Corinne"},{"family":"Vasquez","given":"Nadia"},{"family":"Pochart","given":"Philippe"},{"family":"Trugnan","given":"Germain"},{"family":"Thomas","given":"Ginette"},{"family":"Blottière","given":"Hervé M."},{"family":"Doré","given":"Joël"},{"family":"Marteau","given":"Philippe"},{"family":"Seksik","given":"Philippe"},{"family":"Langella","given":"Philippe"}],"issued":{"date-parts":[["2008",10,28]]}}}],"schema":"https://github.com/citation-style-language/schema/raw/master/csl-citation.json"} </w:instrText>
      </w:r>
      <w:r>
        <w:rPr>
          <w:sz w:val="24"/>
          <w:szCs w:val="24"/>
        </w:rPr>
        <w:fldChar w:fldCharType="separate"/>
      </w:r>
      <w:r w:rsidRPr="008F07A8">
        <w:rPr>
          <w:rFonts w:ascii="Calibri" w:hAnsi="Calibri" w:cs="Calibri"/>
          <w:sz w:val="24"/>
          <w:szCs w:val="24"/>
          <w:vertAlign w:val="superscript"/>
        </w:rPr>
        <w:t>35–37</w:t>
      </w:r>
      <w:r>
        <w:rPr>
          <w:sz w:val="24"/>
          <w:szCs w:val="24"/>
        </w:rPr>
        <w:fldChar w:fldCharType="end"/>
      </w:r>
      <w:r>
        <w:rPr>
          <w:sz w:val="24"/>
          <w:szCs w:val="24"/>
        </w:rPr>
        <w:t xml:space="preserve"> SCFAs also promote generation of peripheral regulatory T-cells, which promote gut health and homeostasis.</w:t>
      </w:r>
      <w:r>
        <w:rPr>
          <w:sz w:val="24"/>
          <w:szCs w:val="24"/>
        </w:rPr>
        <w:fldChar w:fldCharType="begin"/>
      </w:r>
      <w:r>
        <w:rPr>
          <w:sz w:val="24"/>
          <w:szCs w:val="24"/>
        </w:rPr>
        <w:instrText xml:space="preserve"> ADDIN ZOTERO_ITEM CSL_CITATION {"citationID":"H9mvEPiy","properties":{"formattedCitation":"\\super 38\\uc0\\u8211{}40\\nosupersub{}","plainCitation":"38–40","noteIndex":0},"citationItems":[{"id":108,"uris":["http://zotero.org/users/local/9pHoSXqz/items/BIWLK7K6"],"uri":["http://zotero.org/users/local/9pHoSXqz/items/BIWLK7K6"],"itemData":{"id":108,"type":"article-journal","container-title":"Nature","DOI":"10.1038/nature12726","ISSN":"0028-0836, 1476-4687","issue":"7480","journalAbbreviation":"Nature","language":"en","page":"451-455","source":"DOI.org (Crossref)","title":"Metabolites produced by commensal bacteria promote peripheral regulatory T-cell generation","volume":"504","author":[{"family":"Arpaia","given":"Nicholas"},{"family":"Campbell","given":"Clarissa"},{"family":"Fan","given":"Xiying"},{"family":"Dikiy","given":"Stanislav"},{"family":"Veeken","given":"Joris","non-dropping-particle":"van der"},{"family":"deRoos","given":"Paul"},{"family":"Liu","given":"Hui"},{"family":"Cross","given":"Justin R."},{"family":"Pfeffer","given":"Klaus"},{"family":"Coffer","given":"Paul J."},{"family":"Rudensky","given":"Alexander Y."}],"issued":{"date-parts":[["2013",12]]}}},{"id":110,"uris":["http://zotero.org/users/local/9pHoSXqz/items/LHTIZ3NY"],"uri":["http://zotero.org/users/local/9pHoSXqz/items/LHTIZ3NY"],"itemData":{"id":110,"type":"article-journal","container-title":"Nature","DOI":"10.1038/nature12721","ISSN":"0028-0836, 1476-4687","issue":"7480","journalAbbreviation":"Nature","language":"en","page":"446-450","source":"DOI.org (Crossref)","title":"Commensal microbe-derived butyrate induces the differentiation of colonic regulatory T cells","volume":"504","author":[{"family":"Furusawa","given":"Yukihiro"},{"family":"Obata","given":"Yuuki"},{"family":"Fukuda","given":"Shinji"},{"family":"Endo","given":"Takaho A."},{"family":"Nakato","given":"Gaku"},{"family":"Takahashi","given":"Daisuke"},{"family":"Nakanishi","given":"Yumiko"},{"family":"Uetake","given":"Chikako"},{"family":"Kato","given":"Keiko"},{"family":"Kato","given":"Tamotsu"},{"family":"Takahashi","given":"Masumi"},{"family":"Fukuda","given":"Noriko N."},{"family":"Murakami","given":"Shinnosuke"},{"family":"Miyauchi","given":"Eiji"},{"family":"Hino","given":"Shingo"},{"family":"Atarashi","given":"Koji"},{"family":"Onawa","given":"Satoshi"},{"family":"Fujimura","given":"Yumiko"},{"family":"Lockett","given":"Trevor"},{"family":"Clarke","given":"Julie M."},{"family":"Topping","given":"David L."},{"family":"Tomita","given":"Masaru"},{"family":"Hori","given":"Shohei"},{"family":"Ohara","given":"Osamu"},{"family":"Morita","given":"Tatsuya"},{"family":"Koseki","given":"Haruhiko"},{"family":"Kikuchi","given":"Jun"},{"family":"Honda","given":"Kenya"},{"family":"Hase","given":"Koji"},{"family":"Ohno","given":"Hiroshi"}],"issued":{"date-parts":[["2013",12,19]]}}},{"id":111,"uris":["http://zotero.org/users/local/9pHoSXqz/items/LRLVG5CP"],"uri":["http://zotero.org/users/local/9pHoSXqz/items/LRLVG5CP"],"itemData":{"id":111,"type":"article-journal","container-title":"Science","DOI":"10.1126/science.1241165","ISSN":"0036-8075, 1095-9203","issue":"6145","journalAbbreviation":"Science","language":"en","page":"569-573","source":"DOI.org (Crossref)","title":"The Microbial Metabolites, Short-Chain Fatty Acids, Regulate Colonic Treg Cell Homeostasis","volume":"341","author":[{"family":"Smith","given":"P. M."},{"family":"Howitt","given":"M. R."},{"family":"Panikov","given":"N."},{"family":"Michaud","given":"M."},{"family":"Gallini","given":"C. A."},{"family":"Bohlooly-Y","given":"M."},{"family":"Glickman","given":"J. N."},{"family":"Garrett","given":"W. S."}],"issued":{"date-parts":[["2013",8,2]]}}}],"schema":"https://github.com/citation-style-language/schema/raw/master/csl-citation.json"} </w:instrText>
      </w:r>
      <w:r>
        <w:rPr>
          <w:sz w:val="24"/>
          <w:szCs w:val="24"/>
        </w:rPr>
        <w:fldChar w:fldCharType="separate"/>
      </w:r>
      <w:r w:rsidRPr="008F07A8">
        <w:rPr>
          <w:rFonts w:ascii="Calibri" w:hAnsi="Calibri" w:cs="Calibri"/>
          <w:sz w:val="24"/>
          <w:szCs w:val="24"/>
          <w:vertAlign w:val="superscript"/>
        </w:rPr>
        <w:t>38–40</w:t>
      </w:r>
      <w:r>
        <w:rPr>
          <w:sz w:val="24"/>
          <w:szCs w:val="24"/>
        </w:rPr>
        <w:fldChar w:fldCharType="end"/>
      </w:r>
    </w:p>
    <w:p w14:paraId="0E963A1C" w14:textId="7DEEA96F" w:rsidR="008F07A8" w:rsidRDefault="00D17179" w:rsidP="00704D76">
      <w:pPr>
        <w:pStyle w:val="Overskrift4"/>
        <w:jc w:val="both"/>
      </w:pPr>
      <w:bookmarkStart w:id="12" w:name="_Toc93326808"/>
      <w:r>
        <w:t>4</w:t>
      </w:r>
      <w:r w:rsidR="008F07A8">
        <w:t>.2. The gut microbiome in Crohn disease patients</w:t>
      </w:r>
      <w:bookmarkEnd w:id="12"/>
    </w:p>
    <w:p w14:paraId="7A9A317B" w14:textId="2E21E534" w:rsidR="002210C8" w:rsidRDefault="002210C8" w:rsidP="00704D76">
      <w:pPr>
        <w:pStyle w:val="Ingenmellomrom"/>
        <w:spacing w:after="240" w:line="360" w:lineRule="auto"/>
        <w:jc w:val="both"/>
        <w:rPr>
          <w:sz w:val="24"/>
          <w:szCs w:val="24"/>
        </w:rPr>
      </w:pPr>
      <w:r w:rsidRPr="00DB3F1C">
        <w:rPr>
          <w:color w:val="2A2A2A"/>
          <w:sz w:val="24"/>
          <w:szCs w:val="24"/>
          <w:shd w:val="clear" w:color="auto" w:fill="FFFFFF"/>
        </w:rPr>
        <w:t>E. Sonnenburg and J. Sonnenburg compared the microbiota of Western populations with those of non-Western populations, and found them to be significantly different</w:t>
      </w:r>
      <w:r>
        <w:rPr>
          <w:color w:val="2A2A2A"/>
          <w:sz w:val="24"/>
          <w:szCs w:val="24"/>
          <w:shd w:val="clear" w:color="auto" w:fill="FFFFFF"/>
        </w:rPr>
        <w:t xml:space="preserve"> in the aspect of which bacteria are present and their proportions</w:t>
      </w:r>
      <w:r w:rsidRPr="00DB3F1C">
        <w:rPr>
          <w:color w:val="2A2A2A"/>
          <w:sz w:val="24"/>
          <w:szCs w:val="24"/>
          <w:shd w:val="clear" w:color="auto" w:fill="FFFFFF"/>
        </w:rPr>
        <w:t>.</w:t>
      </w:r>
      <w:r w:rsidRPr="00DB3F1C">
        <w:rPr>
          <w:color w:val="2A2A2A"/>
          <w:sz w:val="24"/>
          <w:szCs w:val="24"/>
          <w:shd w:val="clear" w:color="auto" w:fill="FFFFFF"/>
        </w:rPr>
        <w:fldChar w:fldCharType="begin"/>
      </w:r>
      <w:r>
        <w:rPr>
          <w:color w:val="2A2A2A"/>
          <w:sz w:val="24"/>
          <w:szCs w:val="24"/>
          <w:shd w:val="clear" w:color="auto" w:fill="FFFFFF"/>
        </w:rPr>
        <w:instrText xml:space="preserve"> ADDIN ZOTERO_ITEM CSL_CITATION {"citationID":"YP8COLBn","properties":{"formattedCitation":"\\super 41\\nosupersub{}","plainCitation":"41","noteIndex":0},"citationItems":[{"id":106,"uris":["http://zotero.org/users/local/9pHoSXqz/items/4ERXDBDJ"],"uri":["http://zotero.org/users/local/9pHoSXqz/items/4ERXDBDJ"],"itemData":{"id":106,"type":"article-journal","container-title":"Cell Metabolism","DOI":"10.1016/j.cmet.2014.07.003","ISSN":"15504131","issue":"5","journalAbbreviation":"Cell Metabolism","language":"en","page":"779-786","source":"DOI.org (Crossref)","title":"Starving our Microbial Self: The Deleterious Consequences of a Diet Deficient in Microbiota-Accessible Carbohydrates","title-short":"Starving our Microbial Self","volume":"20","author":[{"family":"Sonnenburg","given":"Erica D."},{"family":"Sonnenburg","given":"Justin L."}],"issued":{"date-parts":[["2014",11]]}}}],"schema":"https://github.com/citation-style-language/schema/raw/master/csl-citation.json"} </w:instrText>
      </w:r>
      <w:r w:rsidRPr="00DB3F1C">
        <w:rPr>
          <w:color w:val="2A2A2A"/>
          <w:sz w:val="24"/>
          <w:szCs w:val="24"/>
          <w:shd w:val="clear" w:color="auto" w:fill="FFFFFF"/>
        </w:rPr>
        <w:fldChar w:fldCharType="separate"/>
      </w:r>
      <w:r w:rsidRPr="002210C8">
        <w:rPr>
          <w:rFonts w:ascii="Calibri" w:hAnsi="Calibri" w:cs="Calibri"/>
          <w:sz w:val="24"/>
          <w:szCs w:val="24"/>
          <w:vertAlign w:val="superscript"/>
        </w:rPr>
        <w:t>41</w:t>
      </w:r>
      <w:r w:rsidRPr="00DB3F1C">
        <w:rPr>
          <w:color w:val="2A2A2A"/>
          <w:sz w:val="24"/>
          <w:szCs w:val="24"/>
          <w:shd w:val="clear" w:color="auto" w:fill="FFFFFF"/>
        </w:rPr>
        <w:fldChar w:fldCharType="end"/>
      </w:r>
      <w:r w:rsidRPr="00DB3F1C">
        <w:rPr>
          <w:color w:val="2A2A2A"/>
          <w:sz w:val="24"/>
          <w:szCs w:val="24"/>
          <w:shd w:val="clear" w:color="auto" w:fill="FFFFFF"/>
        </w:rPr>
        <w:t xml:space="preserve"> They also found the </w:t>
      </w:r>
      <w:r w:rsidR="001E1996">
        <w:rPr>
          <w:color w:val="2A2A2A"/>
          <w:sz w:val="24"/>
          <w:szCs w:val="24"/>
          <w:shd w:val="clear" w:color="auto" w:fill="FFFFFF"/>
        </w:rPr>
        <w:t xml:space="preserve">microbiome of </w:t>
      </w:r>
      <w:r w:rsidRPr="00DB3F1C">
        <w:rPr>
          <w:color w:val="2A2A2A"/>
          <w:sz w:val="24"/>
          <w:szCs w:val="24"/>
          <w:shd w:val="clear" w:color="auto" w:fill="FFFFFF"/>
        </w:rPr>
        <w:t xml:space="preserve">Western </w:t>
      </w:r>
      <w:r w:rsidR="001E1996">
        <w:rPr>
          <w:color w:val="2A2A2A"/>
          <w:sz w:val="24"/>
          <w:szCs w:val="24"/>
          <w:shd w:val="clear" w:color="auto" w:fill="FFFFFF"/>
        </w:rPr>
        <w:t xml:space="preserve">populations </w:t>
      </w:r>
      <w:r w:rsidRPr="00DB3F1C">
        <w:rPr>
          <w:color w:val="2A2A2A"/>
          <w:sz w:val="24"/>
          <w:szCs w:val="24"/>
          <w:shd w:val="clear" w:color="auto" w:fill="FFFFFF"/>
        </w:rPr>
        <w:t xml:space="preserve">to be less diverse than </w:t>
      </w:r>
      <w:r w:rsidR="001E1996">
        <w:rPr>
          <w:color w:val="2A2A2A"/>
          <w:sz w:val="24"/>
          <w:szCs w:val="24"/>
          <w:shd w:val="clear" w:color="auto" w:fill="FFFFFF"/>
        </w:rPr>
        <w:t xml:space="preserve">that of </w:t>
      </w:r>
      <w:r w:rsidRPr="00DB3F1C">
        <w:rPr>
          <w:color w:val="2A2A2A"/>
          <w:sz w:val="24"/>
          <w:szCs w:val="24"/>
          <w:shd w:val="clear" w:color="auto" w:fill="FFFFFF"/>
        </w:rPr>
        <w:t>non-Western. These factors could be involved in explaining the polarization in incidence of IBD between Western and non-Western countries.</w:t>
      </w:r>
    </w:p>
    <w:p w14:paraId="548FFEFB" w14:textId="77777777" w:rsidR="005E651A" w:rsidRDefault="005E651A" w:rsidP="00704D76">
      <w:pPr>
        <w:pStyle w:val="Ingenmellomrom"/>
        <w:spacing w:after="240" w:line="360" w:lineRule="auto"/>
        <w:jc w:val="both"/>
        <w:rPr>
          <w:sz w:val="24"/>
          <w:szCs w:val="24"/>
        </w:rPr>
      </w:pPr>
      <w:r w:rsidRPr="00B04297">
        <w:rPr>
          <w:sz w:val="24"/>
          <w:szCs w:val="24"/>
        </w:rPr>
        <w:t>Dysbiosis</w:t>
      </w:r>
      <w:r>
        <w:rPr>
          <w:sz w:val="24"/>
          <w:szCs w:val="24"/>
        </w:rPr>
        <w:t>, the disruption to the normal balance of the gut microbiota,</w:t>
      </w:r>
      <w:r w:rsidRPr="00B04297">
        <w:rPr>
          <w:sz w:val="24"/>
          <w:szCs w:val="24"/>
        </w:rPr>
        <w:t xml:space="preserve"> has been implicated in the pathogenesis of IBD</w:t>
      </w:r>
      <w:r>
        <w:rPr>
          <w:sz w:val="24"/>
          <w:szCs w:val="24"/>
        </w:rPr>
        <w:t>, as well as obesity, malnutrition, neurological disorder, and cancer</w:t>
      </w:r>
      <w:r w:rsidRPr="00B04297">
        <w:rPr>
          <w:sz w:val="24"/>
          <w:szCs w:val="24"/>
        </w:rPr>
        <w:t>.</w:t>
      </w:r>
      <w:r>
        <w:rPr>
          <w:sz w:val="24"/>
          <w:szCs w:val="24"/>
        </w:rPr>
        <w:fldChar w:fldCharType="begin"/>
      </w:r>
      <w:r>
        <w:rPr>
          <w:sz w:val="24"/>
          <w:szCs w:val="24"/>
        </w:rPr>
        <w:instrText xml:space="preserve"> ADDIN ZOTERO_ITEM CSL_CITATION {"citationID":"Dz4VGcO6","properties":{"formattedCitation":"\\super 28\\nosupersub{}","plainCitation":"28","noteIndex":0},"citationItems":[{"id":50,"uris":["http://zotero.org/users/local/9pHoSXqz/items/568JQSMA"],"uri":["http://zotero.org/users/local/9pHoSXqz/items/568JQSMA"],"itemData":{"id":50,"type":"article-journal","container-title":"Nature","DOI":"10.1038/nature11550","ISSN":"0028-0836, 1476-4687","issue":"7415","journalAbbreviation":"Nature","language":"en","page":"220-230","source":"DOI.org (Crossref)","title":"Diversity, stability and resilience of the human gut microbiota","volume":"489","author":[{"family":"Lozupone","given":"Catherine A."},{"family":"Stombaugh","given":"Jesse I."},{"family":"Gordon","given":"Jeffrey I."},{"family":"Jansson","given":"Janet K."},{"family":"Knight","given":"Rob"}],"issued":{"date-parts":[["2012",9]]}}}],"schema":"https://github.com/citation-style-language/schema/raw/master/csl-citation.json"}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28</w:t>
      </w:r>
      <w:r>
        <w:rPr>
          <w:sz w:val="24"/>
          <w:szCs w:val="24"/>
        </w:rPr>
        <w:fldChar w:fldCharType="end"/>
      </w:r>
      <w:r>
        <w:rPr>
          <w:sz w:val="24"/>
          <w:szCs w:val="24"/>
        </w:rPr>
        <w:t xml:space="preserve"> The increased risk of CD in dysbiosis is highlighted by the degree to which formula-feeding and antibiotic use in infancy are established risk factors in the development of IBD. A meta-analysis with the aim of examining the association between breastfeeding in infancy and the risk for ICD found that ever being breastfed was associated with a lower risk of CD, with an odds ratio of 0.71.</w:t>
      </w:r>
      <w:r>
        <w:rPr>
          <w:sz w:val="24"/>
          <w:szCs w:val="24"/>
        </w:rPr>
        <w:fldChar w:fldCharType="begin"/>
      </w:r>
      <w:r>
        <w:rPr>
          <w:sz w:val="24"/>
          <w:szCs w:val="24"/>
        </w:rPr>
        <w:instrText xml:space="preserve"> ADDIN ZOTERO_ITEM CSL_CITATION {"citationID":"QKDVL0jb","properties":{"formattedCitation":"\\super 12\\nosupersub{}","plainCitation":"12","noteIndex":0},"citationItems":[{"id":54,"uris":["http://zotero.org/users/local/9pHoSXqz/items/A9THBG5E"],"uri":["http://zotero.org/users/local/9pHoSXqz/items/A9THBG5E"],"itemData":{"id":54,"type":"article-journal","container-title":"Alimentary Pharmacology &amp; Therapeutics","DOI":"10.1111/apt.14291","ISSN":"02692813","issue":"9","journalAbbreviation":"Aliment Pharmacol Ther","language":"en","page":"780-789","source":"DOI.org (Crossref)","title":"Systematic review with meta-analysis: breastfeeding and the risk of Crohn's disease and ulcerative colitis","title-short":"Systematic review with meta-analysis","volume":"46","author":[{"family":"Xu","given":"L."},{"family":"Lochhead","given":"P."},{"family":"Ko","given":"Y."},{"family":"Claggett","given":"B."},{"family":"Leong","given":"R. W."},{"family":"Ananthakrishnan","given":"A. N."}],"issued":{"date-parts":[["2017",11]]}}}],"schema":"https://github.com/citation-style-language/schema/raw/master/csl-citation.json"}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12</w:t>
      </w:r>
      <w:r>
        <w:rPr>
          <w:sz w:val="24"/>
          <w:szCs w:val="24"/>
        </w:rPr>
        <w:fldChar w:fldCharType="end"/>
      </w:r>
      <w:r>
        <w:rPr>
          <w:sz w:val="24"/>
          <w:szCs w:val="24"/>
        </w:rPr>
        <w:t xml:space="preserve"> This association was dose-dependent, with the strongest decrease in risk being when the infant was breastfed for at least 12 months (OR 0.20). </w:t>
      </w:r>
      <w:r w:rsidRPr="003D74C8">
        <w:rPr>
          <w:sz w:val="24"/>
          <w:szCs w:val="24"/>
        </w:rPr>
        <w:t xml:space="preserve">Antibiotics </w:t>
      </w:r>
      <w:r>
        <w:rPr>
          <w:sz w:val="24"/>
          <w:szCs w:val="24"/>
        </w:rPr>
        <w:t>use in infancy was associated with an odds ratio of developing IBD of at least 2,58.</w:t>
      </w:r>
      <w:r>
        <w:rPr>
          <w:sz w:val="24"/>
          <w:szCs w:val="24"/>
        </w:rPr>
        <w:fldChar w:fldCharType="begin"/>
      </w:r>
      <w:r>
        <w:rPr>
          <w:sz w:val="24"/>
          <w:szCs w:val="24"/>
        </w:rPr>
        <w:instrText xml:space="preserve"> ADDIN ZOTERO_ITEM CSL_CITATION {"citationID":"Gbw4mOFv","properties":{"formattedCitation":"\\super 31\\nosupersub{}","plainCitation":"31","noteIndex":0},"citationItems":[{"id":58,"uris":["http://zotero.org/users/local/9pHoSXqz/items/9PKJMA2I"],"uri":["http://zotero.org/users/local/9pHoSXqz/items/9PKJMA2I"],"itemData":{"id":58,"type":"article-journal","abstract":"OBJECTIVES: The development of commensal flora in infants has been shown to be sensitive to antibiotic use. Altered intestinal flora is thought to contribute to the etiology of inflammatory bowel disease (IBD), an idiopathic chronic condition. We aimed to determine if early use of antibiotics was associated with the development of IBD in childhood.\nMETHODS: Nested case-control analysis of the population-based University of Manitoba Inflammatory Bowel Disease Epidemiologic Database was carried out. IBD status was determined from a validated administrative database definition. A total of 36 subjects diagnosed between 1996 and 2008 were matched to 360 controls, on the basis of age, sex, and geographic region. Antibiotic data were drawn from the Manitoba Drug Program Information Network, a comprehensive population-based database of all prescription drugs for all Manitobans dating back to 1995. Antibiotic use in the first year of life was compared between IBD cases and controls.\nRESULTS: The mean age at IBD diagnosis was 8.4 years. Twenty-one cases (58%) had one or more antibiotic dispensations in their first year of life compared with 39% of controls. Crohn's disease was diagnosed in 75% of IBD cases. Those receiving one or more dispensations of antibiotics were at 2.9 times the odds (95% confidence interval: 1.2, 7.0) of being an IBD case.\nCONCLUSIONS: Subjects diagnosed with IBD in childhood are more likely to have used antibiotics in their first year of life.","container-title":"The American Journal of Gastroenterology","DOI":"10.1038/ajg.2010.398","ISSN":"1572-0241","issue":"12","journalAbbreviation":"Am J Gastroenterol","language":"eng","note":"PMID: 20940708","page":"2687-2692","source":"PubMed","title":"Association between the use of antibiotics in the first year of life and pediatric inflammatory bowel disease","volume":"105","author":[{"family":"Shaw","given":"Souradet Y."},{"family":"Blanchard","given":"James F."},{"family":"Bernstein","given":"Charles N."}],"issued":{"date-parts":[["2010",12]]}}}],"schema":"https://github.com/citation-style-language/schema/raw/master/csl-citation.json"}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31</w:t>
      </w:r>
      <w:r>
        <w:rPr>
          <w:sz w:val="24"/>
          <w:szCs w:val="24"/>
        </w:rPr>
        <w:fldChar w:fldCharType="end"/>
      </w:r>
      <w:r>
        <w:rPr>
          <w:sz w:val="24"/>
          <w:szCs w:val="24"/>
        </w:rPr>
        <w:t xml:space="preserve"> 75% of these cases were CD, the remainder UC.</w:t>
      </w:r>
    </w:p>
    <w:p w14:paraId="12440D16" w14:textId="1B3C7D28" w:rsidR="007B6302" w:rsidRPr="00B04297" w:rsidRDefault="007B6302" w:rsidP="00704D76">
      <w:pPr>
        <w:pStyle w:val="Ingenmellomrom"/>
        <w:spacing w:after="240" w:line="360" w:lineRule="auto"/>
        <w:jc w:val="both"/>
        <w:rPr>
          <w:sz w:val="24"/>
          <w:szCs w:val="24"/>
        </w:rPr>
      </w:pPr>
      <w:r w:rsidRPr="00B04297">
        <w:rPr>
          <w:sz w:val="24"/>
          <w:szCs w:val="24"/>
        </w:rPr>
        <w:t xml:space="preserve">The </w:t>
      </w:r>
      <w:proofErr w:type="gramStart"/>
      <w:r w:rsidRPr="00B04297">
        <w:rPr>
          <w:sz w:val="24"/>
          <w:szCs w:val="24"/>
        </w:rPr>
        <w:t>aforementioned metagenomic</w:t>
      </w:r>
      <w:proofErr w:type="gramEnd"/>
      <w:r w:rsidRPr="00B04297">
        <w:rPr>
          <w:sz w:val="24"/>
          <w:szCs w:val="24"/>
        </w:rPr>
        <w:t xml:space="preserve"> sequencing project sequenced the gut of IBD patients and compared them to the gut of healthy persons. </w:t>
      </w:r>
      <w:r w:rsidR="009D6F22" w:rsidRPr="00B04297">
        <w:rPr>
          <w:sz w:val="24"/>
          <w:szCs w:val="24"/>
        </w:rPr>
        <w:t xml:space="preserve">Microbiome composition </w:t>
      </w:r>
      <w:r w:rsidR="00D9608D" w:rsidRPr="00B04297">
        <w:rPr>
          <w:sz w:val="24"/>
          <w:szCs w:val="24"/>
        </w:rPr>
        <w:t xml:space="preserve">and diversity </w:t>
      </w:r>
      <w:r w:rsidR="009D6F22" w:rsidRPr="00B04297">
        <w:rPr>
          <w:sz w:val="24"/>
          <w:szCs w:val="24"/>
        </w:rPr>
        <w:t xml:space="preserve">varied between healthy individuals, but </w:t>
      </w:r>
      <w:r w:rsidRPr="00B04297">
        <w:rPr>
          <w:sz w:val="24"/>
          <w:szCs w:val="24"/>
        </w:rPr>
        <w:t xml:space="preserve">the </w:t>
      </w:r>
      <w:r w:rsidR="00D9608D" w:rsidRPr="00B04297">
        <w:rPr>
          <w:sz w:val="24"/>
          <w:szCs w:val="24"/>
        </w:rPr>
        <w:t>bacterial diversity of IBD patients was markedly reduced compared to healthy, with CD patients having even less diversity than UC patients.</w:t>
      </w:r>
      <w:r w:rsidR="001E0455">
        <w:rPr>
          <w:sz w:val="24"/>
          <w:szCs w:val="24"/>
        </w:rPr>
        <w:fldChar w:fldCharType="begin"/>
      </w:r>
      <w:r w:rsidR="00F57E1D">
        <w:rPr>
          <w:sz w:val="24"/>
          <w:szCs w:val="24"/>
        </w:rPr>
        <w:instrText xml:space="preserve"> ADDIN ZOTERO_ITEM CSL_CITATION {"citationID":"KMCIJUSc","properties":{"formattedCitation":"\\super 27\\nosupersub{}","plainCitation":"27","noteIndex":0},"citationItems":[{"id":44,"uris":["http://zotero.org/users/local/9pHoSXqz/items/V7XE2IM5"],"uri":["http://zotero.org/users/local/9pHoSXqz/items/V7XE2IM5"],"itemData":{"id":44,"type":"article-journal","container-title":"Nature","DOI":"10.1038/nature08821","ISSN":"0028-0836, 1476-4687","issue":"7285","journalAbbreviation":"Nature","language":"en","page":"59-65","source":"DOI.org (Crossref)","title":"A human gut microbial gene catalogue established by metagenomic sequencing","volume":"464","author":[{"literal":"MetaHIT Consortium"},{"family":"Qin","given":"Junjie"},{"family":"Li","given":"Ruiqiang"},{"family":"Raes","given":"Jeroen"},{"family":"Arumugam","given":"Manimozhiyan"},{"family":"Burgdorf","given":"Kristoffer Solvsten"},{"family":"Manichanh","given":"Chaysavanh"},{"family":"Nielsen","given":"Trine"},{"family":"Pons","given":"Nicolas"},{"family":"Levenez","given":"Florence"},{"family":"Yamada","given":"Takuji"},{"family":"Mende","given":"Daniel R."},{"family":"Li","given":"Junhua"},{"family":"Xu","given":"Junming"},{"family":"Li","given":"Shaochuan"},{"family":"Li","given":"Dongfang"},{"family":"Cao","given":"Jianjun"},{"family":"Wang","given":"Bo"},{"family":"Liang","given":"Huiqing"},{"family":"Zheng","given":"Huisong"},{"family":"Xie","given":"Yinlong"},{"family":"Tap","given":"Julien"},{"family":"Lepage","given":"Patricia"},{"family":"Bertalan","given":"Marcelo"},{"family":"Batto","given":"Jean-Michel"},{"family":"Hansen","given":"Torben"},{"family":"Le Paslier","given":"Denis"},{"family":"Linneberg","given":"Allan"},{"family":"Nielsen","given":"H. Bjørn"},{"family":"Pelletier","given":"Eric"},{"family":"Renault","given":"Pierre"},{"family":"Sicheritz-Ponten","given":"Thomas"},{"family":"Turner","given":"Keith"},{"family":"Zhu","given":"Hongmei"},{"family":"Yu","given":"Chang"},{"family":"Li","given":"Shengting"},{"family":"Jian","given":"Min"},{"family":"Zhou","given":"Yan"},{"family":"Li","given":"Yingrui"},{"family":"Zhang","given":"Xiuqing"},{"family":"Li","given":"Songgang"},{"family":"Qin","given":"Nan"},{"family":"Yang","given":"Huanming"},{"family":"Wang","given":"Jian"},{"family":"Brunak","given":"Søren"},{"family":"Doré","given":"Joel"},{"family":"Guarner","given":"Francisco"},{"family":"Kristiansen","given":"Karsten"},{"family":"Pedersen","given":"Oluf"},{"family":"Parkhill","given":"Julian"},{"family":"Weissenbach","given":"Jean"},{"family":"Bork","given":"Peer"},{"family":"Ehrlich","given":"S. Dusko"},{"family":"Wang","given":"Jun"}],"issued":{"date-parts":[["2010",3]]}}}],"schema":"https://github.com/citation-style-language/schema/raw/master/csl-citation.json"} </w:instrText>
      </w:r>
      <w:r w:rsidR="001E0455">
        <w:rPr>
          <w:sz w:val="24"/>
          <w:szCs w:val="24"/>
        </w:rPr>
        <w:fldChar w:fldCharType="separate"/>
      </w:r>
      <w:r w:rsidR="00F57E1D" w:rsidRPr="00F57E1D">
        <w:rPr>
          <w:rFonts w:ascii="Calibri" w:hAnsi="Calibri" w:cs="Calibri"/>
          <w:sz w:val="24"/>
          <w:szCs w:val="24"/>
          <w:vertAlign w:val="superscript"/>
        </w:rPr>
        <w:t>27</w:t>
      </w:r>
      <w:r w:rsidR="001E0455">
        <w:rPr>
          <w:sz w:val="24"/>
          <w:szCs w:val="24"/>
        </w:rPr>
        <w:fldChar w:fldCharType="end"/>
      </w:r>
    </w:p>
    <w:p w14:paraId="5E53E365" w14:textId="7B2EB828" w:rsidR="008F07A8" w:rsidRDefault="000409E1" w:rsidP="00704D76">
      <w:pPr>
        <w:pStyle w:val="Ingenmellomrom"/>
        <w:spacing w:after="240" w:line="360" w:lineRule="auto"/>
        <w:jc w:val="both"/>
        <w:rPr>
          <w:sz w:val="24"/>
          <w:szCs w:val="24"/>
        </w:rPr>
      </w:pPr>
      <w:r>
        <w:rPr>
          <w:sz w:val="24"/>
          <w:szCs w:val="24"/>
        </w:rPr>
        <w:lastRenderedPageBreak/>
        <w:t xml:space="preserve">In addition to an overall decrease in biodiversity, IBD is also associated with a reduction in specific bacterial taxa, including </w:t>
      </w:r>
      <w:r w:rsidR="00EE3FE1">
        <w:rPr>
          <w:i/>
          <w:iCs/>
          <w:sz w:val="24"/>
          <w:szCs w:val="24"/>
        </w:rPr>
        <w:t xml:space="preserve">Faecalibacterium, </w:t>
      </w:r>
      <w:r>
        <w:rPr>
          <w:i/>
          <w:iCs/>
          <w:sz w:val="24"/>
          <w:szCs w:val="24"/>
        </w:rPr>
        <w:t xml:space="preserve">Firmicutes, Bacteroidetes, Lactobacillus, </w:t>
      </w:r>
      <w:r w:rsidRPr="008F07A8">
        <w:rPr>
          <w:sz w:val="24"/>
          <w:szCs w:val="24"/>
        </w:rPr>
        <w:t>and</w:t>
      </w:r>
      <w:r>
        <w:rPr>
          <w:i/>
          <w:iCs/>
          <w:sz w:val="24"/>
          <w:szCs w:val="24"/>
        </w:rPr>
        <w:t xml:space="preserve"> Eubacterium</w:t>
      </w:r>
      <w:r>
        <w:rPr>
          <w:sz w:val="24"/>
          <w:szCs w:val="24"/>
        </w:rPr>
        <w:t>.</w:t>
      </w:r>
      <w:r>
        <w:rPr>
          <w:sz w:val="24"/>
          <w:szCs w:val="24"/>
        </w:rPr>
        <w:fldChar w:fldCharType="begin"/>
      </w:r>
      <w:r w:rsidR="00935BD9">
        <w:rPr>
          <w:sz w:val="24"/>
          <w:szCs w:val="24"/>
        </w:rPr>
        <w:instrText xml:space="preserve"> ADDIN ZOTERO_ITEM CSL_CITATION {"citationID":"tAUPcPfs","properties":{"formattedCitation":"\\super 42\\uc0\\u8211{}46\\nosupersub{}","plainCitation":"42–46","noteIndex":0},"citationItems":[{"id":67,"uris":["http://zotero.org/users/local/9pHoSXqz/items/CPPEVGE9"],"uri":["http://zotero.org/users/local/9pHoSXqz/items/CPPEVGE9"],"itemData":{"id":67,"type":"article-journal","container-title":"Proceedings of the National Academy of Sciences","DOI":"10.1073/pnas.0706625104","ISSN":"0027-8424, 1091-6490","issue":"34","journalAbbreviation":"Proceedings of the National Academy of Sciences","language":"en","page":"13780-13785","source":"DOI.org (Crossref)","title":"Molecular-phylogenetic characterization of microbial community imbalances in human inflammatory bowel diseases","volume":"104","author":[{"family":"Frank","given":"D. N."},{"family":"St. Amand","given":"A. L."},{"family":"Feldman","given":"R. A."},{"family":"Boedeker","given":"E. C."},{"family":"Harpaz","given":"N."},{"family":"Pace","given":"N. R."}],"issued":{"date-parts":[["2007",8,21]]}}},{"id":"jjDQVj0L/mBiu7HEg","uris":["http://zotero.org/users/local/9pHoSXqz/items/KWNNUI3T"],"uri":["http://zotero.org/users/local/9pHoSXqz/items/KWNNUI3T"],"itemData":{"id":60,"type":"article-journal","container-title":"Genome Biology","DOI":"10.1186/gb-2012-13-9-r79","ISSN":"1465-6906","issue":"9","journalAbbreviation":"Genome Biol","language":"en","page":"R79","source":"DOI.org (Crossref)","title":"Dysfunction of the intestinal microbiome in inflammatory bowel disease and treatment","volume":"13","author":[{"family":"Morgan","given":"Xochitl C"},{"family":"Tickle","given":"Timothy L"},{"family":"Sokol","given":"Harry"},{"family":"Gevers","given":"Dirk"},{"family":"Devaney","given":"Kathryn L"},{"family":"Ward","given":"Doyle V"},{"family":"Reyes","given":"Joshua A"},{"family":"Shah","given":"Samir A"},{"family":"LeLeiko","given":"Neal"},{"family":"Snapper","given":"Scott B"},{"family":"Bousvaros","given":"Athos"},{"family":"Korzenik","given":"Joshua"},{"family":"Sands","given":"Bruce E"},{"family":"Xavier","given":"Ramnik J"},{"family":"Huttenhower","given":"Curtis"}],"issued":{"date-parts":[["2012"]]}}},{"id":63,"uris":["http://zotero.org/users/local/9pHoSXqz/items/ER7M9LSD"],"uri":["http://zotero.org/users/local/9pHoSXqz/items/ER7M9LSD"],"itemData":{"id":63,"type":"article-journal","container-title":"Gut","DOI":"10.1136/gut.2003.025403","ISSN":"0017-5749","issue":"5","journalAbbreviation":"Gut","language":"en","page":"685-693","source":"DOI.org (Crossref)","title":"Reduction in diversity of the colonic mucosa associated bacterial microflora in patients with active inflammatory bowel disease","volume":"53","author":[{"family":"Ott","given":"S J"}],"issued":{"date-parts":[["2004",5,1]]}}},{"id":62,"uris":["http://zotero.org/users/local/9pHoSXqz/items/M3RBF6UF"],"uri":["http://zotero.org/users/local/9pHoSXqz/items/M3RBF6UF"],"itemData":{"id":62,"type":"article-journal","container-title":"Inflammatory Bowel Diseases","DOI":"10.1097/MIB.0000000000000215","ISSN":"1078-0998","issue":"1","journalAbbreviation":"Inflammatory Bowel Diseases","language":"en","page":"139-153","source":"DOI.org (Crossref)","title":"Functional Impacts of the Intestinal Microbiome in the Pathogenesis of Inflammatory Bowel Disease:","title-short":"Functional Impacts of the Intestinal Microbiome in the Pathogenesis of Inflammatory Bowel Disease","volume":"21","author":[{"family":"Li","given":"Jennifer"},{"family":"Butcher","given":"James"},{"family":"Mack","given":"David"},{"family":"Stintzi","given":"Alain"}],"issued":{"date-parts":[["2015",1]]}}},{"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42–46</w:t>
      </w:r>
      <w:r>
        <w:rPr>
          <w:sz w:val="24"/>
          <w:szCs w:val="24"/>
        </w:rPr>
        <w:fldChar w:fldCharType="end"/>
      </w:r>
      <w:r w:rsidR="00F50EF0">
        <w:rPr>
          <w:sz w:val="24"/>
          <w:szCs w:val="24"/>
        </w:rPr>
        <w:t xml:space="preserve"> </w:t>
      </w:r>
      <w:r w:rsidR="00653ABC">
        <w:rPr>
          <w:sz w:val="24"/>
          <w:szCs w:val="24"/>
        </w:rPr>
        <w:t>Several</w:t>
      </w:r>
      <w:r w:rsidR="005E651A">
        <w:rPr>
          <w:sz w:val="24"/>
          <w:szCs w:val="24"/>
        </w:rPr>
        <w:t xml:space="preserve"> stud</w:t>
      </w:r>
      <w:r w:rsidR="00653ABC">
        <w:rPr>
          <w:sz w:val="24"/>
          <w:szCs w:val="24"/>
        </w:rPr>
        <w:t>ies</w:t>
      </w:r>
      <w:r w:rsidR="005E651A">
        <w:rPr>
          <w:sz w:val="24"/>
          <w:szCs w:val="24"/>
        </w:rPr>
        <w:t xml:space="preserve"> examining the effect of temporary faecal stream diversion on Crohn disease </w:t>
      </w:r>
      <w:r w:rsidR="00653ABC">
        <w:rPr>
          <w:sz w:val="24"/>
          <w:szCs w:val="24"/>
        </w:rPr>
        <w:t xml:space="preserve">treated with </w:t>
      </w:r>
      <w:r w:rsidR="005E651A">
        <w:rPr>
          <w:sz w:val="24"/>
          <w:szCs w:val="24"/>
        </w:rPr>
        <w:t xml:space="preserve">surgery showed that </w:t>
      </w:r>
      <w:r w:rsidR="00800548">
        <w:rPr>
          <w:sz w:val="24"/>
          <w:szCs w:val="24"/>
        </w:rPr>
        <w:t>inflammation and recurrence</w:t>
      </w:r>
      <w:r w:rsidR="005E651A">
        <w:rPr>
          <w:sz w:val="24"/>
          <w:szCs w:val="24"/>
        </w:rPr>
        <w:t xml:space="preserve"> downstream of the diversion did not occur until after re-anastomosis.</w:t>
      </w:r>
      <w:r w:rsidR="00800548">
        <w:rPr>
          <w:sz w:val="24"/>
          <w:szCs w:val="24"/>
        </w:rPr>
        <w:fldChar w:fldCharType="begin"/>
      </w:r>
      <w:r w:rsidR="00935BD9">
        <w:rPr>
          <w:sz w:val="24"/>
          <w:szCs w:val="24"/>
        </w:rPr>
        <w:instrText xml:space="preserve"> ADDIN ZOTERO_ITEM CSL_CITATION {"citationID":"qHQE4nqb","properties":{"formattedCitation":"\\super 47,48\\nosupersub{}","plainCitation":"47,48","noteIndex":0},"citationItems":[{"id":194,"uris":["http://zotero.org/users/local/9pHoSXqz/items/JTT4ERS5"],"uri":["http://zotero.org/users/local/9pHoSXqz/items/JTT4ERS5"],"itemData":{"id":194,"type":"article-journal","container-title":"The Lancet","DOI":"10.1016/0140-6736(91)90663-A","ISSN":"01406736","issue":"8770","journalAbbreviation":"The Lancet","language":"en","page":"771-774","source":"DOI.org (Crossref)","title":"Effect of faecal stream diversion on recurrence of Crohn's disease in the neoterminal ileum","volume":"338","author":[{"family":"Rutgeerts","given":"P"},{"family":"Peeters","given":"M"},{"family":"Hiele","given":"M"},{"family":"Vantrappen","given":"G"},{"family":"Pennincx","given":"F"},{"family":"Aerts","given":"R"},{"family":"Kerremans","given":"R"},{"family":"Goboes","given":"K"}],"issued":{"date-parts":[["1991",9]]}}},{"id":197,"uris":["http://zotero.org/users/local/9pHoSXqz/items/Y43BCMBA"],"uri":["http://zotero.org/users/local/9pHoSXqz/items/Y43BCMBA"],"itemData":{"id":197,"type":"article-journal","container-title":"Journal of Clinical Gastroenterology","DOI":"10.1097/01.mcg.0000212638.44735.78","ISSN":"0192-0790","issue":"5","language":"en","page":"491-493","source":"DOI.org (Crossref)","title":"Diversion of the Fecal Stream Resolves Ulcerative Colitis Complicating Chronic Granulomatous Disease in an Adult Patient","volume":"41","author":[{"family":"Villanacci","given":"Vincenzo"},{"family":"Falchetti","given":"Diego"},{"family":"Liserre","given":"Barbara"},{"family":"Soresina","given":"Anna Rosa"},{"family":"Plebani","given":"Alessandro"},{"family":"Ekema","given":"George"},{"family":"Bassotti","given":"Gabrio"}],"issued":{"date-parts":[["2007",5]]}}}],"schema":"https://github.com/citation-style-language/schema/raw/master/csl-citation.json"} </w:instrText>
      </w:r>
      <w:r w:rsidR="00800548">
        <w:rPr>
          <w:sz w:val="24"/>
          <w:szCs w:val="24"/>
        </w:rPr>
        <w:fldChar w:fldCharType="separate"/>
      </w:r>
      <w:r w:rsidR="00935BD9" w:rsidRPr="00935BD9">
        <w:rPr>
          <w:rFonts w:ascii="Calibri" w:hAnsi="Calibri" w:cs="Calibri"/>
          <w:sz w:val="24"/>
          <w:szCs w:val="24"/>
          <w:vertAlign w:val="superscript"/>
        </w:rPr>
        <w:t>47,48</w:t>
      </w:r>
      <w:r w:rsidR="00800548">
        <w:rPr>
          <w:sz w:val="24"/>
          <w:szCs w:val="24"/>
        </w:rPr>
        <w:fldChar w:fldCharType="end"/>
      </w:r>
      <w:r w:rsidR="00800548">
        <w:rPr>
          <w:sz w:val="24"/>
          <w:szCs w:val="24"/>
        </w:rPr>
        <w:t xml:space="preserve"> </w:t>
      </w:r>
      <w:r w:rsidR="005E651A">
        <w:rPr>
          <w:sz w:val="24"/>
          <w:szCs w:val="24"/>
        </w:rPr>
        <w:t xml:space="preserve">This suggests that </w:t>
      </w:r>
      <w:r w:rsidR="00800548">
        <w:rPr>
          <w:sz w:val="24"/>
          <w:szCs w:val="24"/>
        </w:rPr>
        <w:t>inflammation in CD is dependant on factors in the faeces.</w:t>
      </w:r>
    </w:p>
    <w:p w14:paraId="24951C36" w14:textId="12F4040A" w:rsidR="00B000B8" w:rsidRDefault="00EE3FE1" w:rsidP="00704D76">
      <w:pPr>
        <w:pStyle w:val="Ingenmellomrom"/>
        <w:spacing w:after="240" w:line="360" w:lineRule="auto"/>
        <w:jc w:val="both"/>
        <w:rPr>
          <w:sz w:val="24"/>
          <w:szCs w:val="24"/>
        </w:rPr>
      </w:pPr>
      <w:r w:rsidRPr="006C2123">
        <w:rPr>
          <w:sz w:val="24"/>
          <w:szCs w:val="24"/>
        </w:rPr>
        <w:t>IBD is associated with a decrease in SCFA-producing bacteria</w:t>
      </w:r>
      <w:r w:rsidR="006C2123" w:rsidRPr="006C2123">
        <w:rPr>
          <w:sz w:val="24"/>
          <w:szCs w:val="24"/>
        </w:rPr>
        <w:t xml:space="preserve">, most notable </w:t>
      </w:r>
      <w:r w:rsidR="006C2123" w:rsidRPr="006C2123">
        <w:rPr>
          <w:i/>
          <w:iCs/>
          <w:sz w:val="24"/>
          <w:szCs w:val="24"/>
        </w:rPr>
        <w:t>Faecalibacterium prausnitzii</w:t>
      </w:r>
      <w:r w:rsidR="006C2123" w:rsidRPr="006C2123">
        <w:rPr>
          <w:sz w:val="24"/>
          <w:szCs w:val="24"/>
        </w:rPr>
        <w:t>.</w:t>
      </w:r>
      <w:r w:rsidRPr="006C2123">
        <w:rPr>
          <w:sz w:val="24"/>
          <w:szCs w:val="24"/>
        </w:rPr>
        <w:fldChar w:fldCharType="begin"/>
      </w:r>
      <w:r w:rsidR="00935BD9">
        <w:rPr>
          <w:sz w:val="24"/>
          <w:szCs w:val="24"/>
        </w:rPr>
        <w:instrText xml:space="preserve"> ADDIN ZOTERO_ITEM CSL_CITATION {"citationID":"R5dEUn19","properties":{"formattedCitation":"\\super 46\\nosupersub{}","plainCitation":"46","noteIndex":0},"citationItems":[{"id":82,"uris":["http://zotero.org/users/local/9pHoSXqz/items/X2UYXUA3"],"uri":["http://zotero.org/users/local/9pHoSXqz/items/X2UYXUA3"],"itemData":{"id":82,"type":"article-journal","abstract":"BACKGROUND: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sidRPr="006C2123">
        <w:rPr>
          <w:sz w:val="24"/>
          <w:szCs w:val="24"/>
        </w:rPr>
        <w:fldChar w:fldCharType="separate"/>
      </w:r>
      <w:r w:rsidR="00935BD9" w:rsidRPr="00935BD9">
        <w:rPr>
          <w:rFonts w:ascii="Calibri" w:hAnsi="Calibri" w:cs="Calibri"/>
          <w:sz w:val="24"/>
          <w:szCs w:val="24"/>
          <w:vertAlign w:val="superscript"/>
        </w:rPr>
        <w:t>46</w:t>
      </w:r>
      <w:r w:rsidRPr="006C2123">
        <w:rPr>
          <w:sz w:val="24"/>
          <w:szCs w:val="24"/>
        </w:rPr>
        <w:fldChar w:fldCharType="end"/>
      </w:r>
      <w:r w:rsidR="006C2123">
        <w:rPr>
          <w:sz w:val="24"/>
          <w:szCs w:val="24"/>
        </w:rPr>
        <w:t xml:space="preserve"> </w:t>
      </w:r>
      <w:r w:rsidR="001C0A27">
        <w:rPr>
          <w:i/>
          <w:iCs/>
          <w:sz w:val="24"/>
          <w:szCs w:val="24"/>
        </w:rPr>
        <w:t xml:space="preserve">F. prausnitzii </w:t>
      </w:r>
      <w:r w:rsidR="001C0A27">
        <w:rPr>
          <w:sz w:val="24"/>
          <w:szCs w:val="24"/>
        </w:rPr>
        <w:t>is well established as a marker of a healthy gut</w:t>
      </w:r>
      <w:r w:rsidR="008F4280">
        <w:rPr>
          <w:sz w:val="24"/>
          <w:szCs w:val="24"/>
        </w:rPr>
        <w:fldChar w:fldCharType="begin"/>
      </w:r>
      <w:r w:rsidR="008F07A8">
        <w:rPr>
          <w:sz w:val="24"/>
          <w:szCs w:val="24"/>
        </w:rPr>
        <w:instrText xml:space="preserve"> ADDIN ZOTERO_ITEM CSL_CITATION {"citationID":"fRbcEk3i","properties":{"formattedCitation":"\\super 37\\nosupersub{}","plainCitation":"37","noteIndex":0},"citationItems":[{"id":92,"uris":["http://zotero.org/users/local/9pHoSXqz/items/YE5NKKRB"],"uri":["http://zotero.org/users/local/9pHoSXqz/items/YE5NKKRB"],"itemData":{"id":92,"type":"article-journal","abstract":"A decrease in the abundance and biodiversity of intestinal bacteria within the dominant phylum Firmicutes has been observed repeatedly in Crohn disease (CD) patients. In this study, we determined the composition of the mucosa-associated microbiota of CD patients at the time of surgical resection and 6 months later using FISH analysis. We found that a reduction of a major member of Firmicutes, Faecalibacterium prausnitzii, is associated with a higher risk of postoperative recurrence of ileal CD. A lower proportion of F. prausnitzii on resected ileal Crohn mucosa also was associated with endoscopic recurrence at 6 months. To evaluate the immunomodulatory properties of F. prausnitzii we analyzed the anti-inflammatory effects of F. prausnitzii in both in vitro (cellular models) and in vivo [2,4,6-trinitrobenzenesulphonic acid (TNBS)-induced] colitis in mice. In Caco-2 cells transfected with a reporter gene for NF-kappaB activity, F. prausnitzii had no effect on IL-1beta-induced NF-kappaB activity, whereas the supernatant abolished it. In vitro peripheral blood mononuclear cell stimulation by F. prausnitzii led to significantly lower IL-12 and IFN-gamma production levels and higher secretion of IL-10. Oral administration of either live F. prausnitzii or its supernatant markedly reduced the severity of TNBS colitis and tended to correct the dysbiosis associated with TNBS colitis, as demonstrated by real-time quantitative PCR (qPCR) analysis. F. prausnitzii exhibits anti-inflammatory effects on cellular and TNBS colitis models, partly due to secreted metabolites able to block NF-kappaB activation and IL-8 production. These results suggest that counterbalancing dysbiosis using F. prausnitzii as a probiotic is a promising strategy in CD treatment.","container-title":"Proceedings of the National Academy of Sciences of the United States of America","DOI":"10.1073/pnas.0804812105","ISSN":"1091-6490","issue":"43","journalAbbreviation":"Proc Natl Acad Sci U S A","language":"eng","note":"PMID: 18936492\nPMCID: PMC2575488","page":"16731-16736","source":"PubMed","title":"Faecalibacterium prausnitzii is an anti-inflammatory commensal bacterium identified by gut microbiota analysis of Crohn disease patients","volume":"105","author":[{"family":"Sokol","given":"Harry"},{"family":"Pigneur","given":"Bénédicte"},{"family":"Watterlot","given":"Laurie"},{"family":"Lakhdari","given":"Omar"},{"family":"Bermúdez-Humarán","given":"Luis G."},{"family":"Gratadoux","given":"Jean-Jacques"},{"family":"Blugeon","given":"Sébastien"},{"family":"Bridonneau","given":"Chantal"},{"family":"Furet","given":"Jean-Pierre"},{"family":"Corthier","given":"Gérard"},{"family":"Grangette","given":"Corinne"},{"family":"Vasquez","given":"Nadia"},{"family":"Pochart","given":"Philippe"},{"family":"Trugnan","given":"Germain"},{"family":"Thomas","given":"Ginette"},{"family":"Blottière","given":"Hervé M."},{"family":"Doré","given":"Joël"},{"family":"Marteau","given":"Philippe"},{"family":"Seksik","given":"Philippe"},{"family":"Langella","given":"Philippe"}],"issued":{"date-parts":[["2008",10,28]]}}}],"schema":"https://github.com/citation-style-language/schema/raw/master/csl-citation.json"} </w:instrText>
      </w:r>
      <w:r w:rsidR="008F4280">
        <w:rPr>
          <w:sz w:val="24"/>
          <w:szCs w:val="24"/>
        </w:rPr>
        <w:fldChar w:fldCharType="separate"/>
      </w:r>
      <w:r w:rsidR="008F07A8" w:rsidRPr="008F07A8">
        <w:rPr>
          <w:rFonts w:ascii="Calibri" w:hAnsi="Calibri" w:cs="Calibri"/>
          <w:sz w:val="24"/>
          <w:szCs w:val="24"/>
          <w:vertAlign w:val="superscript"/>
        </w:rPr>
        <w:t>37</w:t>
      </w:r>
      <w:r w:rsidR="008F4280">
        <w:rPr>
          <w:sz w:val="24"/>
          <w:szCs w:val="24"/>
        </w:rPr>
        <w:fldChar w:fldCharType="end"/>
      </w:r>
      <w:r w:rsidR="008F07A8">
        <w:rPr>
          <w:sz w:val="24"/>
          <w:szCs w:val="24"/>
        </w:rPr>
        <w:t>,</w:t>
      </w:r>
      <w:r w:rsidR="001C0A27">
        <w:rPr>
          <w:sz w:val="24"/>
          <w:szCs w:val="24"/>
        </w:rPr>
        <w:t xml:space="preserve"> and decreased abundance of </w:t>
      </w:r>
      <w:r w:rsidR="001C0A27">
        <w:rPr>
          <w:i/>
          <w:iCs/>
          <w:sz w:val="24"/>
          <w:szCs w:val="24"/>
        </w:rPr>
        <w:t xml:space="preserve">F. prausnitzii </w:t>
      </w:r>
      <w:r w:rsidR="001C0A27">
        <w:rPr>
          <w:sz w:val="24"/>
          <w:szCs w:val="24"/>
        </w:rPr>
        <w:t>was significantly associated with increase in Crohn disease Activity Index, C-reactive protein levels, and erythrocyte sedimentation rate</w:t>
      </w:r>
      <w:r w:rsidR="008F4280">
        <w:rPr>
          <w:sz w:val="24"/>
          <w:szCs w:val="24"/>
        </w:rPr>
        <w:t>,</w:t>
      </w:r>
      <w:r w:rsidR="001C0A27">
        <w:rPr>
          <w:sz w:val="24"/>
          <w:szCs w:val="24"/>
        </w:rPr>
        <w:fldChar w:fldCharType="begin"/>
      </w:r>
      <w:r w:rsidR="00935BD9">
        <w:rPr>
          <w:sz w:val="24"/>
          <w:szCs w:val="24"/>
        </w:rPr>
        <w:instrText xml:space="preserve"> ADDIN ZOTERO_ITEM CSL_CITATION {"citationID":"VPYxN9m8","properties":{"formattedCitation":"\\super 49\\nosupersub{}","plainCitation":"49","noteIndex":0},"citationItems":[{"id":90,"uris":["http://zotero.org/users/local/9pHoSXqz/items/JBYNW2T8"],"uri":["http://zotero.org/users/local/9pHoSXqz/items/JBYNW2T8"],"itemData":{"id":90,"type":"article-journal","abstract":"BACKGROUND AND AIMS: Dysbiosis is thought to be relevant to the etiology and pathogenesis of Crohn's disease (CD). In this study, we investigated the abundance of Faecalibacterium prausnitzii, as well as Bilophila wadsworthia, in the gut microbiota of Japanese CD patients.\nMETHODS: Forty-seven CD patients and 20 healthy controls were enrolled. Abundance of F. prausnitzii in fecal samples was quantified by real-time polymerase chain reaction. The gut microbiota profile was evaluated by terminal restriction fragment length polymorphisms.\nRESULTS: The abundance of F. prausnitzii significantly decreased in CD patients compared with healthy subjects. B. wadsworthia was scarcely detected in the same samples. Among CD patients, the Crohn's Disease Activity Index, C-reactive protein levels, and erythrocyte sedimentation rate were significantly lower, and serum albumin levels were significantly higher in the high F. prausnitzii group compared with the low group. Terminal restriction fragment length polymorphisms analysis showed that fecal bacterial communities of CD patients differed from those of healthy individuals. The changes in simulated bacterial composition indicated that class Clostridia, including genus Faecalibacterium, was significantly less abundant in CD patients as compared with healthy individuals. The bacterial diversity measured by the Shannon Diversity Index was significantly reduced in CD patients compared with healthy individuals.\nCONCLUSION: The decreased abundance of class Clostridia, including F. prausnitzii, may translate into a reduction of commensal bacteria-mediated, anti-inflammatory activities in the mucosa, which are relevant to the pathophysiology of CD. In contrast, the role of B. wadsworthia was suspected to be minimal.","container-title":"Journal of Gastroenterology and Hepatology","DOI":"10.1111/jgh.12073","ISSN":"1440-1746","issue":"4","journalAbbreviation":"J Gastroenterol Hepatol","language":"eng","note":"PMID: 23216550","page":"613-619","source":"PubMed","title":"Decreased abundance of Faecalibacterium prausnitzii in the gut microbiota of Crohn's disease","volume":"28","author":[{"family":"Fujimoto","given":"Takehide"},{"family":"Imaeda","given":"Hirotsugu"},{"family":"Takahashi","given":"Kenichiro"},{"family":"Kasumi","given":"Eiji"},{"family":"Bamba","given":"Shigeki"},{"family":"Fujiyama","given":"Yoshihide"},{"family":"Andoh","given":"Akira"}],"issued":{"date-parts":[["2013",4]]}}}],"schema":"https://github.com/citation-style-language/schema/raw/master/csl-citation.json"} </w:instrText>
      </w:r>
      <w:r w:rsidR="001C0A27">
        <w:rPr>
          <w:sz w:val="24"/>
          <w:szCs w:val="24"/>
        </w:rPr>
        <w:fldChar w:fldCharType="separate"/>
      </w:r>
      <w:r w:rsidR="00935BD9" w:rsidRPr="00935BD9">
        <w:rPr>
          <w:rFonts w:ascii="Calibri" w:hAnsi="Calibri" w:cs="Calibri"/>
          <w:sz w:val="24"/>
          <w:szCs w:val="24"/>
          <w:vertAlign w:val="superscript"/>
        </w:rPr>
        <w:t>49</w:t>
      </w:r>
      <w:r w:rsidR="001C0A27">
        <w:rPr>
          <w:sz w:val="24"/>
          <w:szCs w:val="24"/>
        </w:rPr>
        <w:fldChar w:fldCharType="end"/>
      </w:r>
      <w:r w:rsidR="001C0A27">
        <w:rPr>
          <w:sz w:val="24"/>
          <w:szCs w:val="24"/>
        </w:rPr>
        <w:t xml:space="preserve"> </w:t>
      </w:r>
      <w:r w:rsidR="008F4280">
        <w:rPr>
          <w:sz w:val="24"/>
          <w:szCs w:val="24"/>
        </w:rPr>
        <w:t>as well as increased CD recurrence.</w:t>
      </w:r>
      <w:r w:rsidR="008F4280">
        <w:rPr>
          <w:sz w:val="24"/>
          <w:szCs w:val="24"/>
        </w:rPr>
        <w:fldChar w:fldCharType="begin"/>
      </w:r>
      <w:r w:rsidR="008F07A8">
        <w:rPr>
          <w:sz w:val="24"/>
          <w:szCs w:val="24"/>
        </w:rPr>
        <w:instrText xml:space="preserve"> ADDIN ZOTERO_ITEM CSL_CITATION {"citationID":"tNBGxnDW","properties":{"formattedCitation":"\\super 37\\nosupersub{}","plainCitation":"37","noteIndex":0},"citationItems":[{"id":92,"uris":["http://zotero.org/users/local/9pHoSXqz/items/YE5NKKRB"],"uri":["http://zotero.org/users/local/9pHoSXqz/items/YE5NKKRB"],"itemData":{"id":92,"type":"article-journal","abstract":"A decrease in the abundance and biodiversity of intestinal bacteria within the dominant phylum Firmicutes has been observed repeatedly in Crohn disease (CD) patients. In this study, we determined the composition of the mucosa-associated microbiota of CD patients at the time of surgical resection and 6 months later using FISH analysis. We found that a reduction of a major member of Firmicutes, Faecalibacterium prausnitzii, is associated with a higher risk of postoperative recurrence of ileal CD. A lower proportion of F. prausnitzii on resected ileal Crohn mucosa also was associated with endoscopic recurrence at 6 months. To evaluate the immunomodulatory properties of F. prausnitzii we analyzed the anti-inflammatory effects of F. prausnitzii in both in vitro (cellular models) and in vivo [2,4,6-trinitrobenzenesulphonic acid (TNBS)-induced] colitis in mice. In Caco-2 cells transfected with a reporter gene for NF-kappaB activity, F. prausnitzii had no effect on IL-1beta-induced NF-kappaB activity, whereas the supernatant abolished it. In vitro peripheral blood mononuclear cell stimulation by F. prausnitzii led to significantly lower IL-12 and IFN-gamma production levels and higher secretion of IL-10. Oral administration of either live F. prausnitzii or its supernatant markedly reduced the severity of TNBS colitis and tended to correct the dysbiosis associated with TNBS colitis, as demonstrated by real-time quantitative PCR (qPCR) analysis. F. prausnitzii exhibits anti-inflammatory effects on cellular and TNBS colitis models, partly due to secreted metabolites able to block NF-kappaB activation and IL-8 production. These results suggest that counterbalancing dysbiosis using F. prausnitzii as a probiotic is a promising strategy in CD treatment.","container-title":"Proceedings of the National Academy of Sciences of the United States of America","DOI":"10.1073/pnas.0804812105","ISSN":"1091-6490","issue":"43","journalAbbreviation":"Proc Natl Acad Sci U S A","language":"eng","note":"PMID: 18936492\nPMCID: PMC2575488","page":"16731-16736","source":"PubMed","title":"Faecalibacterium prausnitzii is an anti-inflammatory commensal bacterium identified by gut microbiota analysis of Crohn disease patients","volume":"105","author":[{"family":"Sokol","given":"Harry"},{"family":"Pigneur","given":"Bénédicte"},{"family":"Watterlot","given":"Laurie"},{"family":"Lakhdari","given":"Omar"},{"family":"Bermúdez-Humarán","given":"Luis G."},{"family":"Gratadoux","given":"Jean-Jacques"},{"family":"Blugeon","given":"Sébastien"},{"family":"Bridonneau","given":"Chantal"},{"family":"Furet","given":"Jean-Pierre"},{"family":"Corthier","given":"Gérard"},{"family":"Grangette","given":"Corinne"},{"family":"Vasquez","given":"Nadia"},{"family":"Pochart","given":"Philippe"},{"family":"Trugnan","given":"Germain"},{"family":"Thomas","given":"Ginette"},{"family":"Blottière","given":"Hervé M."},{"family":"Doré","given":"Joël"},{"family":"Marteau","given":"Philippe"},{"family":"Seksik","given":"Philippe"},{"family":"Langella","given":"Philippe"}],"issued":{"date-parts":[["2008",10,28]]}}}],"schema":"https://github.com/citation-style-language/schema/raw/master/csl-citation.json"} </w:instrText>
      </w:r>
      <w:r w:rsidR="008F4280">
        <w:rPr>
          <w:sz w:val="24"/>
          <w:szCs w:val="24"/>
        </w:rPr>
        <w:fldChar w:fldCharType="separate"/>
      </w:r>
      <w:r w:rsidR="008F07A8" w:rsidRPr="008F07A8">
        <w:rPr>
          <w:rFonts w:ascii="Calibri" w:hAnsi="Calibri" w:cs="Calibri"/>
          <w:sz w:val="24"/>
          <w:szCs w:val="24"/>
          <w:vertAlign w:val="superscript"/>
        </w:rPr>
        <w:t>37</w:t>
      </w:r>
      <w:r w:rsidR="008F4280">
        <w:rPr>
          <w:sz w:val="24"/>
          <w:szCs w:val="24"/>
        </w:rPr>
        <w:fldChar w:fldCharType="end"/>
      </w:r>
      <w:r w:rsidR="008F4280">
        <w:rPr>
          <w:sz w:val="24"/>
          <w:szCs w:val="24"/>
        </w:rPr>
        <w:t xml:space="preserve"> </w:t>
      </w:r>
      <w:r w:rsidR="006C2123">
        <w:rPr>
          <w:sz w:val="24"/>
          <w:szCs w:val="24"/>
        </w:rPr>
        <w:t xml:space="preserve">In one study, the prevalence of Faecalibacterium species was significantly reduced in CD patients, with </w:t>
      </w:r>
      <w:r w:rsidR="00B000B8">
        <w:rPr>
          <w:i/>
          <w:iCs/>
          <w:sz w:val="24"/>
          <w:szCs w:val="24"/>
        </w:rPr>
        <w:t>F.</w:t>
      </w:r>
      <w:r w:rsidR="006C2123">
        <w:rPr>
          <w:i/>
          <w:iCs/>
          <w:sz w:val="24"/>
          <w:szCs w:val="24"/>
        </w:rPr>
        <w:t xml:space="preserve"> prausnitzii </w:t>
      </w:r>
      <w:r w:rsidR="006C2123">
        <w:rPr>
          <w:sz w:val="24"/>
          <w:szCs w:val="24"/>
        </w:rPr>
        <w:t>being present in 80% of healthy subjects but only 15,8% of CD patients.</w:t>
      </w:r>
      <w:r w:rsidR="006C2123">
        <w:rPr>
          <w:sz w:val="24"/>
          <w:szCs w:val="24"/>
        </w:rPr>
        <w:fldChar w:fldCharType="begin"/>
      </w:r>
      <w:r w:rsidR="00935BD9">
        <w:rPr>
          <w:sz w:val="24"/>
          <w:szCs w:val="24"/>
        </w:rPr>
        <w:instrText xml:space="preserve"> ADDIN ZOTERO_ITEM CSL_CITATION {"citationID":"VMtGDmGN","properties":{"formattedCitation":"\\super 46\\nosupersub{}","plainCitation":"46","noteIndex":0},"citationItems":[{"id":82,"uris":["http://zotero.org/users/local/9pHoSXqz/items/X2UYXUA3"],"uri":["http://zotero.org/users/local/9pHoSXqz/items/X2UYXUA3"],"itemData":{"id":82,"type":"article-journal","abstract":"BACKGROUND: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sidR="006C2123">
        <w:rPr>
          <w:sz w:val="24"/>
          <w:szCs w:val="24"/>
        </w:rPr>
        <w:fldChar w:fldCharType="separate"/>
      </w:r>
      <w:r w:rsidR="00935BD9" w:rsidRPr="00935BD9">
        <w:rPr>
          <w:rFonts w:ascii="Calibri" w:hAnsi="Calibri" w:cs="Calibri"/>
          <w:sz w:val="24"/>
          <w:szCs w:val="24"/>
          <w:vertAlign w:val="superscript"/>
        </w:rPr>
        <w:t>46</w:t>
      </w:r>
      <w:r w:rsidR="006C2123">
        <w:rPr>
          <w:sz w:val="24"/>
          <w:szCs w:val="24"/>
        </w:rPr>
        <w:fldChar w:fldCharType="end"/>
      </w:r>
      <w:r w:rsidR="00B000B8">
        <w:rPr>
          <w:sz w:val="24"/>
          <w:szCs w:val="24"/>
        </w:rPr>
        <w:t xml:space="preserve"> </w:t>
      </w:r>
      <w:r w:rsidR="00B000B8">
        <w:rPr>
          <w:i/>
          <w:iCs/>
          <w:sz w:val="24"/>
          <w:szCs w:val="24"/>
        </w:rPr>
        <w:t xml:space="preserve">F. prausnitzii </w:t>
      </w:r>
      <w:r w:rsidR="00B000B8">
        <w:rPr>
          <w:sz w:val="24"/>
          <w:szCs w:val="24"/>
        </w:rPr>
        <w:t>exhibits anti-inflammatory effects, partly due to secreted metabolites blocking NF-</w:t>
      </w:r>
      <w:proofErr w:type="spellStart"/>
      <w:r w:rsidR="00B000B8">
        <w:rPr>
          <w:sz w:val="24"/>
          <w:szCs w:val="24"/>
        </w:rPr>
        <w:t>κB</w:t>
      </w:r>
      <w:proofErr w:type="spellEnd"/>
      <w:r w:rsidR="00B000B8">
        <w:rPr>
          <w:sz w:val="24"/>
          <w:szCs w:val="24"/>
        </w:rPr>
        <w:t xml:space="preserve"> and IL-8 secretion.</w:t>
      </w:r>
      <w:r w:rsidR="00B000B8">
        <w:rPr>
          <w:sz w:val="24"/>
          <w:szCs w:val="24"/>
        </w:rPr>
        <w:fldChar w:fldCharType="begin"/>
      </w:r>
      <w:r w:rsidR="008F07A8">
        <w:rPr>
          <w:sz w:val="24"/>
          <w:szCs w:val="24"/>
        </w:rPr>
        <w:instrText xml:space="preserve"> ADDIN ZOTERO_ITEM CSL_CITATION {"citationID":"L3T0aYI8","properties":{"formattedCitation":"\\super 37\\nosupersub{}","plainCitation":"37","noteIndex":0},"citationItems":[{"id":92,"uris":["http://zotero.org/users/local/9pHoSXqz/items/YE5NKKRB"],"uri":["http://zotero.org/users/local/9pHoSXqz/items/YE5NKKRB"],"itemData":{"id":92,"type":"article-journal","abstract":"A decrease in the abundance and biodiversity of intestinal bacteria within the dominant phylum Firmicutes has been observed repeatedly in Crohn disease (CD) patients. In this study, we determined the composition of the mucosa-associated microbiota of CD patients at the time of surgical resection and 6 months later using FISH analysis. We found that a reduction of a major member of Firmicutes, Faecalibacterium prausnitzii, is associated with a higher risk of postoperative recurrence of ileal CD. A lower proportion of F. prausnitzii on resected ileal Crohn mucosa also was associated with endoscopic recurrence at 6 months. To evaluate the immunomodulatory properties of F. prausnitzii we analyzed the anti-inflammatory effects of F. prausnitzii in both in vitro (cellular models) and in vivo [2,4,6-trinitrobenzenesulphonic acid (TNBS)-induced] colitis in mice. In Caco-2 cells transfected with a reporter gene for NF-kappaB activity, F. prausnitzii had no effect on IL-1beta-induced NF-kappaB activity, whereas the supernatant abolished it. In vitro peripheral blood mononuclear cell stimulation by F. prausnitzii led to significantly lower IL-12 and IFN-gamma production levels and higher secretion of IL-10. Oral administration of either live F. prausnitzii or its supernatant markedly reduced the severity of TNBS colitis and tended to correct the dysbiosis associated with TNBS colitis, as demonstrated by real-time quantitative PCR (qPCR) analysis. F. prausnitzii exhibits anti-inflammatory effects on cellular and TNBS colitis models, partly due to secreted metabolites able to block NF-kappaB activation and IL-8 production. These results suggest that counterbalancing dysbiosis using F. prausnitzii as a probiotic is a promising strategy in CD treatment.","container-title":"Proceedings of the National Academy of Sciences of the United States of America","DOI":"10.1073/pnas.0804812105","ISSN":"1091-6490","issue":"43","journalAbbreviation":"Proc Natl Acad Sci U S A","language":"eng","note":"PMID: 18936492\nPMCID: PMC2575488","page":"16731-16736","source":"PubMed","title":"Faecalibacterium prausnitzii is an anti-inflammatory commensal bacterium identified by gut microbiota analysis of Crohn disease patients","volume":"105","author":[{"family":"Sokol","given":"Harry"},{"family":"Pigneur","given":"Bénédicte"},{"family":"Watterlot","given":"Laurie"},{"family":"Lakhdari","given":"Omar"},{"family":"Bermúdez-Humarán","given":"Luis G."},{"family":"Gratadoux","given":"Jean-Jacques"},{"family":"Blugeon","given":"Sébastien"},{"family":"Bridonneau","given":"Chantal"},{"family":"Furet","given":"Jean-Pierre"},{"family":"Corthier","given":"Gérard"},{"family":"Grangette","given":"Corinne"},{"family":"Vasquez","given":"Nadia"},{"family":"Pochart","given":"Philippe"},{"family":"Trugnan","given":"Germain"},{"family":"Thomas","given":"Ginette"},{"family":"Blottière","given":"Hervé M."},{"family":"Doré","given":"Joël"},{"family":"Marteau","given":"Philippe"},{"family":"Seksik","given":"Philippe"},{"family":"Langella","given":"Philippe"}],"issued":{"date-parts":[["2008",10,28]]}}}],"schema":"https://github.com/citation-style-language/schema/raw/master/csl-citation.json"} </w:instrText>
      </w:r>
      <w:r w:rsidR="00B000B8">
        <w:rPr>
          <w:sz w:val="24"/>
          <w:szCs w:val="24"/>
        </w:rPr>
        <w:fldChar w:fldCharType="separate"/>
      </w:r>
      <w:r w:rsidR="008F07A8" w:rsidRPr="008F07A8">
        <w:rPr>
          <w:rFonts w:ascii="Calibri" w:hAnsi="Calibri" w:cs="Calibri"/>
          <w:sz w:val="24"/>
          <w:szCs w:val="24"/>
          <w:vertAlign w:val="superscript"/>
        </w:rPr>
        <w:t>37</w:t>
      </w:r>
      <w:r w:rsidR="00B000B8">
        <w:rPr>
          <w:sz w:val="24"/>
          <w:szCs w:val="24"/>
        </w:rPr>
        <w:fldChar w:fldCharType="end"/>
      </w:r>
      <w:r w:rsidR="00B000B8">
        <w:rPr>
          <w:sz w:val="24"/>
          <w:szCs w:val="24"/>
        </w:rPr>
        <w:t xml:space="preserve"> </w:t>
      </w:r>
    </w:p>
    <w:p w14:paraId="3D96402E" w14:textId="208443DA" w:rsidR="003F0FFC" w:rsidRDefault="00BE5F0B" w:rsidP="00704D76">
      <w:pPr>
        <w:pStyle w:val="Ingenmellomrom"/>
        <w:spacing w:after="240" w:line="360" w:lineRule="auto"/>
        <w:jc w:val="both"/>
        <w:rPr>
          <w:sz w:val="24"/>
          <w:szCs w:val="24"/>
        </w:rPr>
      </w:pPr>
      <w:r>
        <w:rPr>
          <w:sz w:val="24"/>
          <w:szCs w:val="24"/>
        </w:rPr>
        <w:t xml:space="preserve">IBD is also associated with an increase in </w:t>
      </w:r>
      <w:r w:rsidR="003F0FFC">
        <w:rPr>
          <w:sz w:val="24"/>
          <w:szCs w:val="24"/>
        </w:rPr>
        <w:t xml:space="preserve">Enterobacteriaceae, including </w:t>
      </w:r>
      <w:r w:rsidR="00F713EB">
        <w:rPr>
          <w:sz w:val="24"/>
          <w:szCs w:val="24"/>
        </w:rPr>
        <w:t>E.</w:t>
      </w:r>
      <w:r w:rsidR="003F0FFC">
        <w:rPr>
          <w:sz w:val="24"/>
          <w:szCs w:val="24"/>
        </w:rPr>
        <w:t xml:space="preserve"> coli</w:t>
      </w:r>
      <w:r w:rsidR="006C2123">
        <w:rPr>
          <w:sz w:val="24"/>
          <w:szCs w:val="24"/>
        </w:rPr>
        <w:t xml:space="preserve"> and </w:t>
      </w:r>
      <w:r>
        <w:rPr>
          <w:sz w:val="24"/>
          <w:szCs w:val="24"/>
        </w:rPr>
        <w:t>Enterobacter,</w:t>
      </w:r>
      <w:r w:rsidR="003F0FFC">
        <w:rPr>
          <w:sz w:val="24"/>
          <w:szCs w:val="24"/>
        </w:rPr>
        <w:t xml:space="preserve"> </w:t>
      </w:r>
      <w:r w:rsidR="006C2123">
        <w:rPr>
          <w:sz w:val="24"/>
          <w:szCs w:val="24"/>
        </w:rPr>
        <w:t>as well as</w:t>
      </w:r>
      <w:r w:rsidR="003F0FFC">
        <w:rPr>
          <w:sz w:val="24"/>
          <w:szCs w:val="24"/>
        </w:rPr>
        <w:t xml:space="preserve"> </w:t>
      </w:r>
      <w:r>
        <w:rPr>
          <w:sz w:val="24"/>
          <w:szCs w:val="24"/>
        </w:rPr>
        <w:t>F</w:t>
      </w:r>
      <w:r w:rsidR="003F0FFC" w:rsidRPr="00BE5F0B">
        <w:rPr>
          <w:sz w:val="24"/>
          <w:szCs w:val="24"/>
        </w:rPr>
        <w:t>usobacterium</w:t>
      </w:r>
      <w:r>
        <w:rPr>
          <w:sz w:val="24"/>
          <w:szCs w:val="24"/>
        </w:rPr>
        <w:t xml:space="preserve"> </w:t>
      </w:r>
      <w:r w:rsidR="006C2123">
        <w:rPr>
          <w:sz w:val="24"/>
          <w:szCs w:val="24"/>
        </w:rPr>
        <w:t xml:space="preserve">species and Clostridium species </w:t>
      </w:r>
      <w:r>
        <w:rPr>
          <w:sz w:val="24"/>
          <w:szCs w:val="24"/>
        </w:rPr>
        <w:t>compared to healthy subjects.</w:t>
      </w:r>
      <w:r>
        <w:rPr>
          <w:sz w:val="24"/>
          <w:szCs w:val="24"/>
        </w:rPr>
        <w:fldChar w:fldCharType="begin"/>
      </w:r>
      <w:r w:rsidR="00935BD9">
        <w:rPr>
          <w:sz w:val="24"/>
          <w:szCs w:val="24"/>
        </w:rPr>
        <w:instrText xml:space="preserve"> ADDIN ZOTERO_ITEM CSL_CITATION {"citationID":"BhE7kAxf","properties":{"formattedCitation":"\\super 46,50,51\\nosupersub{}","plainCitation":"46,50,51","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Jesús"}],"issued":{"date-parts":[["2006",12]]}}},{"id":84,"uris":["http://zotero.org/users/local/9pHoSXqz/items/SSPT36V6"],"uri":["http://zotero.org/users/local/9pHoSXqz/items/SSPT36V6"],"itemData":{"id":84,"type":"article-journal","abstract":"BACKGROUND AND AIMS: The colonic microflora is involved in the pathogenesis of Crohn's disease (CD) but less than 30% of the microflora can be cultured. We investigated potential differences in the faecal microflora between patients with colonic CD in remission (n=9), patients with active colonic CD (n=8), and healthy volunteers (n=16) using culture independent techniques.\nMETHODS: Quantitative dot blot hybridisation with six radiolabelled 16S ribosomal ribonucleic acid (rRNA) targeting oligonucleotide probes was used to measure the proportions of rRNA corresponding to each phylogenetic group. Temporal temperature gradient gel electrophoresis (TTGE) of 16S rDNA was used to evaluate dominant species diversity.\nRESULTS: Enterobacteria were significantly increased in active and quiescent CD. Probe additivity was significantly lower in patients (65 (11)% and 69 (6)% in active CD and quiescent CD) than in healthy controls (99 (7)%). TTGE profiles varied markedly between active and quiescent CD but were stable in healthy conditions.\nCONCLUSION: The biodiversity of the microflora remains high in patients with CD. Enterobacteria were observed significantly more frequently in CD than in health, and more than 30% of the dominant flora belonged to yet undefined phylogenetic groups.","container-title":"Gut","DOI":"10.1136/gut.52.2.237","ISSN":"0017-5749","issue":"2","journalAbbreviation":"Gut","language":"eng","note":"PMID: 12524406\nPMCID: PMC1774977","page":"237-242","source":"PubMed","title":"Alterations of the dominant faecal bacterial groups in patients with Crohn's disease of the colon","volume":"52","author":[{"family":"Seksik","given":"P."},{"family":"Rigottier-Gois","given":"L."},{"family":"Gramet","given":"G."},{"family":"Sutren","given":"M."},{"family":"Pochart","given":"P."},{"family":"Marteau","given":"P."},{"family":"Jian","given":"R."},{"family":"Doré","given":"J."}],"issued":{"date-parts":[["2003",2]]}}},{"id":87,"uris":["http://zotero.org/users/local/9pHoSXqz/items/4429SYLG"],"uri":["http://zotero.org/users/local/9pHoSXqz/items/4429SYLG"],"itemData":{"id":87,"type":"article-journal","abstract":"BACKGROUND AND AIM: A role for the intestinal microbial community (microbiota) in the onset and chronicity of Crohn's disease (CD) is strongly suspected. However, investigation of such a complex ecosystem is difficult, even with culture independent molecular approaches.\nMETHODS: We used, for the first time, a comprehensive metagenomic approach to investigate the full range of intestinal microbial diversity. We used a fosmid vector to construct two libraries of genomic DNA isolated directly from faecal samples of six healthy donors and six patients with CD. Bacterial diversity was analysed by screening the two DNA libraries, each composed of 25,000 clones, for the 16S rRNA gene by DNA hybridisation.\nRESULTS: Among 1190 selected clones, we identified 125 non-redundant ribotypes mainly represented by the phyla Bacteroidetes and Firmicutes. Among the Firmicutes, 43 distinct ribotypes were identified in the healthy microbiota, compared with only 13 in CD (p&lt;0.025). Fluorescent in situ hybridisation directly targeting 16S rRNA in faecal samples analysed individually (n=12) confirmed the significant reduction in the proportion of bacteria belonging to this phylum in CD patients (p&lt;0.02).\nCONCLUSION: The metagenomic approach allowed us to detect a reduced complexity of the bacterial phylum Firmicutes as a signature of the faecal microbiota in patients with CD. It also indicated the presence of new bacterial species.","container-title":"Gut","DOI":"10.1136/gut.2005.073817","ISSN":"0017-5749","issue":"2","journalAbbreviation":"Gut","language":"eng","note":"PMID: 16188921\nPMCID: PMC1856500","page":"205-211","source":"PubMed","title":"Reduced diversity of faecal microbiota in Crohn's disease revealed by a metagenomic approach","volume":"55","author":[{"family":"Manichanh","given":"C."},{"family":"Rigottier-Gois","given":"L."},{"family":"Bonnaud","given":"E."},{"family":"Gloux","given":"K."},{"family":"Pelletier","given":"E."},{"family":"Frangeul","given":"L."},{"family":"Nalin","given":"R."},{"family":"Jarrin","given":"C."},{"family":"Chardon","given":"P."},{"family":"Marteau","given":"P."},{"family":"Roca","given":"J."},{"family":"Dore","given":"J."}],"issued":{"date-parts":[["2006",2]]}}}],"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46,50,51</w:t>
      </w:r>
      <w:r>
        <w:rPr>
          <w:sz w:val="24"/>
          <w:szCs w:val="24"/>
        </w:rPr>
        <w:fldChar w:fldCharType="end"/>
      </w:r>
      <w:r>
        <w:rPr>
          <w:sz w:val="24"/>
          <w:szCs w:val="24"/>
        </w:rPr>
        <w:t xml:space="preserve"> </w:t>
      </w:r>
      <w:r w:rsidR="006C2123">
        <w:rPr>
          <w:sz w:val="24"/>
          <w:szCs w:val="24"/>
        </w:rPr>
        <w:t>Certain opportunistic pathogens, including</w:t>
      </w:r>
      <w:r>
        <w:rPr>
          <w:sz w:val="24"/>
          <w:szCs w:val="24"/>
        </w:rPr>
        <w:t xml:space="preserve"> Proteus, </w:t>
      </w:r>
      <w:r w:rsidR="00EE3FE1">
        <w:rPr>
          <w:sz w:val="24"/>
          <w:szCs w:val="24"/>
        </w:rPr>
        <w:t xml:space="preserve">Ruminococcus, </w:t>
      </w:r>
      <w:r>
        <w:rPr>
          <w:sz w:val="24"/>
          <w:szCs w:val="24"/>
        </w:rPr>
        <w:t>and Haemophilus species were only found in CD patients, not in healthy subjects.</w:t>
      </w:r>
      <w:r w:rsidR="00EE3FE1">
        <w:rPr>
          <w:sz w:val="24"/>
          <w:szCs w:val="24"/>
        </w:rPr>
        <w:fldChar w:fldCharType="begin"/>
      </w:r>
      <w:r w:rsidR="00935BD9">
        <w:rPr>
          <w:sz w:val="24"/>
          <w:szCs w:val="24"/>
        </w:rPr>
        <w:instrText xml:space="preserve"> ADDIN ZOTERO_ITEM CSL_CITATION {"citationID":"HRTXngnh","properties":{"formattedCitation":"\\super 46\\nosupersub{}","plainCitation":"46","noteIndex":0},"citationItems":[{"id":82,"uris":["http://zotero.org/users/local/9pHoSXqz/items/X2UYXUA3"],"uri":["http://zotero.org/users/local/9pHoSXqz/items/X2UYXUA3"],"itemData":{"id":82,"type":"article-journal","abstract":"BACKGROUND: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sidR="00EE3FE1">
        <w:rPr>
          <w:sz w:val="24"/>
          <w:szCs w:val="24"/>
        </w:rPr>
        <w:fldChar w:fldCharType="separate"/>
      </w:r>
      <w:r w:rsidR="00935BD9" w:rsidRPr="00935BD9">
        <w:rPr>
          <w:rFonts w:ascii="Calibri" w:hAnsi="Calibri" w:cs="Calibri"/>
          <w:sz w:val="24"/>
          <w:szCs w:val="24"/>
          <w:vertAlign w:val="superscript"/>
        </w:rPr>
        <w:t>46</w:t>
      </w:r>
      <w:r w:rsidR="00EE3FE1">
        <w:rPr>
          <w:sz w:val="24"/>
          <w:szCs w:val="24"/>
        </w:rPr>
        <w:fldChar w:fldCharType="end"/>
      </w:r>
      <w:r>
        <w:rPr>
          <w:sz w:val="24"/>
          <w:szCs w:val="24"/>
        </w:rPr>
        <w:t xml:space="preserve"> </w:t>
      </w:r>
      <w:r w:rsidR="00EE3FE1">
        <w:rPr>
          <w:sz w:val="24"/>
          <w:szCs w:val="24"/>
        </w:rPr>
        <w:t>The simultaneous presence of Clostridium species and E. coli and the absence of Faecalibacterium was as much as 100 times more likely to be found in CD patients than in healthy subjects.</w:t>
      </w:r>
      <w:r w:rsidR="00EE3FE1">
        <w:rPr>
          <w:sz w:val="24"/>
          <w:szCs w:val="24"/>
        </w:rPr>
        <w:fldChar w:fldCharType="begin"/>
      </w:r>
      <w:r w:rsidR="00935BD9">
        <w:rPr>
          <w:sz w:val="24"/>
          <w:szCs w:val="24"/>
        </w:rPr>
        <w:instrText xml:space="preserve"> ADDIN ZOTERO_ITEM CSL_CITATION {"citationID":"LrFE9plE","properties":{"formattedCitation":"\\super 46\\nosupersub{}","plainCitation":"46","noteIndex":0},"citationItems":[{"id":82,"uris":["http://zotero.org/users/local/9pHoSXqz/items/X2UYXUA3"],"uri":["http://zotero.org/users/local/9pHoSXqz/items/X2UYXUA3"],"itemData":{"id":82,"type":"article-journal","abstract":"BACKGROUND: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sidR="00EE3FE1">
        <w:rPr>
          <w:sz w:val="24"/>
          <w:szCs w:val="24"/>
        </w:rPr>
        <w:fldChar w:fldCharType="separate"/>
      </w:r>
      <w:r w:rsidR="00935BD9" w:rsidRPr="00935BD9">
        <w:rPr>
          <w:rFonts w:ascii="Calibri" w:hAnsi="Calibri" w:cs="Calibri"/>
          <w:sz w:val="24"/>
          <w:szCs w:val="24"/>
          <w:vertAlign w:val="superscript"/>
        </w:rPr>
        <w:t>46</w:t>
      </w:r>
      <w:r w:rsidR="00EE3FE1">
        <w:rPr>
          <w:sz w:val="24"/>
          <w:szCs w:val="24"/>
        </w:rPr>
        <w:fldChar w:fldCharType="end"/>
      </w:r>
    </w:p>
    <w:p w14:paraId="08340BF9" w14:textId="09EDAC9C" w:rsidR="00607ACE" w:rsidRDefault="00607ACE" w:rsidP="00704D76">
      <w:pPr>
        <w:pStyle w:val="Ingenmellomrom"/>
        <w:spacing w:after="240" w:line="360" w:lineRule="auto"/>
        <w:jc w:val="both"/>
        <w:rPr>
          <w:sz w:val="24"/>
          <w:szCs w:val="24"/>
        </w:rPr>
      </w:pPr>
      <w:r>
        <w:rPr>
          <w:sz w:val="24"/>
          <w:szCs w:val="24"/>
        </w:rPr>
        <w:t>Braun et. al. investigated the microbiota of CD patients in remission and compared the microbiota of those who went on to develop a flare-up to those who remained in remission.</w:t>
      </w:r>
      <w:r>
        <w:rPr>
          <w:sz w:val="24"/>
          <w:szCs w:val="24"/>
        </w:rPr>
        <w:fldChar w:fldCharType="begin"/>
      </w:r>
      <w:r w:rsidR="00935BD9">
        <w:rPr>
          <w:sz w:val="24"/>
          <w:szCs w:val="24"/>
        </w:rPr>
        <w:instrText xml:space="preserve"> ADDIN ZOTERO_ITEM CSL_CITATION {"citationID":"gcUqecAZ","properties":{"formattedCitation":"\\super 52\\nosupersub{}","plainCitation":"52","noteIndex":0},"citationItems":[{"id":204,"uris":["http://zotero.org/users/local/9pHoSXqz/items/7ELXDRZT"],"uri":["http://zotero.org/users/local/9pHoSXqz/items/7ELXDRZT"],"itemData":{"id":204,"type":"article-journal","container-title":"American Journal of Gastroenterology","DOI":"10.14309/ajg.0000000000000136","ISSN":"0002-9270, 1572-0241","issue":"7","journalAbbreviation":"Am J Gastroenterol","language":"en","page":"1142-1151","source":"DOI.org (Crossref)","title":"Individualized Dynamics in the Gut Microbiota Precede Crohn's Disease Flares","volume":"114","author":[{"family":"Braun","given":"Tzipi"},{"family":"Di Segni","given":"Ayelet"},{"family":"BenShoshan","given":"Marina"},{"family":"Neuman","given":"Sandra"},{"family":"Levhar","given":"Nina"},{"family":"Bubis","given":"Michael"},{"family":"Picard","given":"Orit"},{"family":"Sosnovski","given":"Katya"},{"family":"Efroni","given":"Gilat"},{"family":"Farage Barhom","given":"Sarit"},{"family":"Glick Saar","given":"Efrat"},{"family":"Lahad","given":"Avishay"},{"family":"Weiss","given":"Batia"},{"family":"Yablecovitch","given":"Doron"},{"family":"Lahat","given":"Adi"},{"family":"Eliakim","given":"Rami"},{"family":"Kopylov","given":"Uri"},{"family":"Ben-Horin","given":"Shomron"},{"family":"Haberman","given":"Yael"}],"issued":{"date-parts":[["2019",7]]}}}],"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52</w:t>
      </w:r>
      <w:r>
        <w:rPr>
          <w:sz w:val="24"/>
          <w:szCs w:val="24"/>
        </w:rPr>
        <w:fldChar w:fldCharType="end"/>
      </w:r>
      <w:r>
        <w:rPr>
          <w:sz w:val="24"/>
          <w:szCs w:val="24"/>
        </w:rPr>
        <w:t xml:space="preserve"> The microbiota of patients in remission who subsequently flared showed </w:t>
      </w:r>
      <w:r>
        <w:rPr>
          <w:sz w:val="24"/>
          <w:szCs w:val="24"/>
        </w:rPr>
        <w:lastRenderedPageBreak/>
        <w:t xml:space="preserve">significantly reduced abundance of </w:t>
      </w:r>
      <w:r w:rsidR="001D0762">
        <w:rPr>
          <w:sz w:val="24"/>
          <w:szCs w:val="24"/>
        </w:rPr>
        <w:t xml:space="preserve">Christensenellaceae and Muribaculaceae and significantly increased abundance of Gemallaceae. Notably, higher microbial instability in the remission phase was associated with a significantly higher risk of a subsequent flare (hazard ratio 11.32, 95% confidence interval 3 – 42, p = 0.0035). </w:t>
      </w:r>
    </w:p>
    <w:p w14:paraId="4506AA7B" w14:textId="5681EB64" w:rsidR="002210C8" w:rsidRPr="00DB3F1C" w:rsidRDefault="00BE5F0B" w:rsidP="00704D76">
      <w:pPr>
        <w:pStyle w:val="Ingenmellomrom"/>
        <w:spacing w:after="240" w:line="360" w:lineRule="auto"/>
        <w:jc w:val="both"/>
        <w:rPr>
          <w:sz w:val="24"/>
          <w:szCs w:val="24"/>
        </w:rPr>
      </w:pPr>
      <w:r w:rsidRPr="00612E1A">
        <w:rPr>
          <w:sz w:val="24"/>
          <w:szCs w:val="24"/>
        </w:rPr>
        <w:t>Whether the intestinal</w:t>
      </w:r>
      <w:r w:rsidR="00EE3FE1" w:rsidRPr="00612E1A">
        <w:rPr>
          <w:sz w:val="24"/>
          <w:szCs w:val="24"/>
        </w:rPr>
        <w:t xml:space="preserve"> dysbiosis in </w:t>
      </w:r>
      <w:r w:rsidR="00800548" w:rsidRPr="00612E1A">
        <w:rPr>
          <w:sz w:val="24"/>
          <w:szCs w:val="24"/>
        </w:rPr>
        <w:t>CD precedes</w:t>
      </w:r>
      <w:r w:rsidR="00EE3FE1" w:rsidRPr="00612E1A">
        <w:rPr>
          <w:sz w:val="24"/>
          <w:szCs w:val="24"/>
        </w:rPr>
        <w:t xml:space="preserve"> the pathogenesis of the disease or a </w:t>
      </w:r>
      <w:r w:rsidR="00800548" w:rsidRPr="00612E1A">
        <w:rPr>
          <w:sz w:val="24"/>
          <w:szCs w:val="24"/>
        </w:rPr>
        <w:t xml:space="preserve">is </w:t>
      </w:r>
      <w:r w:rsidR="00EE3FE1" w:rsidRPr="00612E1A">
        <w:rPr>
          <w:sz w:val="24"/>
          <w:szCs w:val="24"/>
        </w:rPr>
        <w:t>result of the pathogenesis of the disease is unclear.</w:t>
      </w:r>
      <w:r w:rsidR="002210C8">
        <w:rPr>
          <w:sz w:val="24"/>
          <w:szCs w:val="24"/>
        </w:rPr>
        <w:t xml:space="preserve"> </w:t>
      </w:r>
      <w:r w:rsidR="00800548">
        <w:rPr>
          <w:sz w:val="24"/>
          <w:szCs w:val="24"/>
        </w:rPr>
        <w:t xml:space="preserve">Obtaining biopsy samples in individuals before they develop CD is difficult. </w:t>
      </w:r>
      <w:r w:rsidR="002210C8">
        <w:rPr>
          <w:sz w:val="24"/>
          <w:szCs w:val="24"/>
        </w:rPr>
        <w:t xml:space="preserve">One study </w:t>
      </w:r>
      <w:r w:rsidR="00800548">
        <w:rPr>
          <w:sz w:val="24"/>
          <w:szCs w:val="24"/>
        </w:rPr>
        <w:t xml:space="preserve">tried to circumvent this issue by </w:t>
      </w:r>
      <w:r w:rsidR="002210C8">
        <w:rPr>
          <w:sz w:val="24"/>
          <w:szCs w:val="24"/>
        </w:rPr>
        <w:t>compar</w:t>
      </w:r>
      <w:r w:rsidR="00800548">
        <w:rPr>
          <w:sz w:val="24"/>
          <w:szCs w:val="24"/>
        </w:rPr>
        <w:t xml:space="preserve">ing </w:t>
      </w:r>
      <w:r w:rsidR="002210C8">
        <w:rPr>
          <w:sz w:val="24"/>
          <w:szCs w:val="24"/>
        </w:rPr>
        <w:t xml:space="preserve">the </w:t>
      </w:r>
      <w:r w:rsidR="008E7267">
        <w:rPr>
          <w:sz w:val="24"/>
          <w:szCs w:val="24"/>
        </w:rPr>
        <w:t xml:space="preserve">microbiome of </w:t>
      </w:r>
      <w:r w:rsidR="008E7267" w:rsidRPr="001C2452">
        <w:rPr>
          <w:sz w:val="24"/>
          <w:szCs w:val="24"/>
        </w:rPr>
        <w:t xml:space="preserve">aphthous ulcers in </w:t>
      </w:r>
      <w:r w:rsidR="006A30D4">
        <w:rPr>
          <w:sz w:val="24"/>
          <w:szCs w:val="24"/>
        </w:rPr>
        <w:t>people</w:t>
      </w:r>
      <w:r w:rsidR="008E7267" w:rsidRPr="001C2452">
        <w:rPr>
          <w:sz w:val="24"/>
          <w:szCs w:val="24"/>
        </w:rPr>
        <w:t xml:space="preserve"> with CD to the microbiome of </w:t>
      </w:r>
      <w:r w:rsidR="001C2452" w:rsidRPr="001C2452">
        <w:rPr>
          <w:sz w:val="24"/>
          <w:szCs w:val="24"/>
        </w:rPr>
        <w:t>their</w:t>
      </w:r>
      <w:r w:rsidR="008E7267" w:rsidRPr="001C2452">
        <w:rPr>
          <w:sz w:val="24"/>
          <w:szCs w:val="24"/>
        </w:rPr>
        <w:t xml:space="preserve"> oral </w:t>
      </w:r>
      <w:proofErr w:type="gramStart"/>
      <w:r w:rsidR="008E7267" w:rsidRPr="001C2452">
        <w:rPr>
          <w:sz w:val="24"/>
          <w:szCs w:val="24"/>
        </w:rPr>
        <w:t>mucosa</w:t>
      </w:r>
      <w:proofErr w:type="gramEnd"/>
      <w:r w:rsidR="008E7267" w:rsidRPr="001C2452">
        <w:rPr>
          <w:sz w:val="24"/>
          <w:szCs w:val="24"/>
        </w:rPr>
        <w:t xml:space="preserve"> </w:t>
      </w:r>
      <w:r w:rsidR="001C2452" w:rsidRPr="001C2452">
        <w:rPr>
          <w:sz w:val="24"/>
          <w:szCs w:val="24"/>
        </w:rPr>
        <w:t>which</w:t>
      </w:r>
      <w:r w:rsidR="001C2452">
        <w:rPr>
          <w:sz w:val="24"/>
          <w:szCs w:val="24"/>
        </w:rPr>
        <w:t xml:space="preserve"> was unaffected by ulcers, </w:t>
      </w:r>
      <w:r w:rsidR="008E7267">
        <w:rPr>
          <w:sz w:val="24"/>
          <w:szCs w:val="24"/>
        </w:rPr>
        <w:t xml:space="preserve">as well as </w:t>
      </w:r>
      <w:r w:rsidR="001C2452">
        <w:rPr>
          <w:sz w:val="24"/>
          <w:szCs w:val="24"/>
        </w:rPr>
        <w:t xml:space="preserve">to </w:t>
      </w:r>
      <w:r w:rsidR="008E7267">
        <w:rPr>
          <w:sz w:val="24"/>
          <w:szCs w:val="24"/>
        </w:rPr>
        <w:t>the microbiome of healthy volunteers</w:t>
      </w:r>
      <w:r w:rsidR="00800548">
        <w:rPr>
          <w:sz w:val="24"/>
          <w:szCs w:val="24"/>
        </w:rPr>
        <w:t>. The authors</w:t>
      </w:r>
      <w:r w:rsidR="008E7267">
        <w:rPr>
          <w:sz w:val="24"/>
          <w:szCs w:val="24"/>
        </w:rPr>
        <w:t xml:space="preserve"> found that the microbiome of the aphthous ulcers did not show the dysbiosis which is characteristic for Crohn disease</w:t>
      </w:r>
      <w:r w:rsidR="00783CC1">
        <w:rPr>
          <w:sz w:val="24"/>
          <w:szCs w:val="24"/>
        </w:rPr>
        <w:t>, and that the microbiome of the ulcers corresponded to that of the unaffected oral mucosa</w:t>
      </w:r>
      <w:r w:rsidR="008E7267">
        <w:rPr>
          <w:sz w:val="24"/>
          <w:szCs w:val="24"/>
        </w:rPr>
        <w:t>.</w:t>
      </w:r>
      <w:r w:rsidR="008E7267">
        <w:rPr>
          <w:sz w:val="24"/>
          <w:szCs w:val="24"/>
        </w:rPr>
        <w:fldChar w:fldCharType="begin"/>
      </w:r>
      <w:r w:rsidR="00935BD9">
        <w:rPr>
          <w:sz w:val="24"/>
          <w:szCs w:val="24"/>
        </w:rPr>
        <w:instrText xml:space="preserve"> ADDIN ZOTERO_ITEM CSL_CITATION {"citationID":"wtjjReR4","properties":{"formattedCitation":"\\super 53\\nosupersub{}","plainCitation":"53","noteIndex":0},"citationItems":[{"id":192,"uris":["http://zotero.org/users/local/9pHoSXqz/items/PFKMEHTQ"],"uri":["http://zotero.org/users/local/9pHoSXqz/items/PFKMEHTQ"],"itemData":{"id":192,"type":"article-journal","container-title":"Gut Pathogens","DOI":"10.1186/s13099-018-0265-6","ISSN":"1757-4749","issue":"1","journalAbbreviation":"Gut Pathog","language":"en","page":"44","source":"DOI.org (Crossref)","title":"The microbiome of Crohn’s disease aphthous ulcers","volume":"10","author":[{"family":"O’Brien","given":"Claire L."},{"family":"Kiely","given":"Christopher J."},{"family":"Pavli","given":"Paul"}],"issued":{"date-parts":[["2018",12]]}}}],"schema":"https://github.com/citation-style-language/schema/raw/master/csl-citation.json"} </w:instrText>
      </w:r>
      <w:r w:rsidR="008E7267">
        <w:rPr>
          <w:sz w:val="24"/>
          <w:szCs w:val="24"/>
        </w:rPr>
        <w:fldChar w:fldCharType="separate"/>
      </w:r>
      <w:r w:rsidR="00935BD9" w:rsidRPr="00935BD9">
        <w:rPr>
          <w:rFonts w:ascii="Calibri" w:hAnsi="Calibri" w:cs="Calibri"/>
          <w:sz w:val="24"/>
          <w:szCs w:val="24"/>
          <w:vertAlign w:val="superscript"/>
        </w:rPr>
        <w:t>53</w:t>
      </w:r>
      <w:r w:rsidR="008E7267">
        <w:rPr>
          <w:sz w:val="24"/>
          <w:szCs w:val="24"/>
        </w:rPr>
        <w:fldChar w:fldCharType="end"/>
      </w:r>
      <w:r w:rsidR="008E7267">
        <w:rPr>
          <w:sz w:val="24"/>
          <w:szCs w:val="24"/>
        </w:rPr>
        <w:t xml:space="preserve"> Because aphthous ulcers usually develop before transmural inflammation and clinical manifestations of Crohn disease, or before a new flare, the authors concluded that their data suggest that intestinal dysbiosis in CD is a consequence of the inflammatory disease process, rather than preceding it. </w:t>
      </w:r>
    </w:p>
    <w:p w14:paraId="3AAAA592" w14:textId="56B2C517" w:rsidR="002210C8" w:rsidRPr="00DB3F1C" w:rsidRDefault="0001290C" w:rsidP="00704D76">
      <w:pPr>
        <w:pStyle w:val="Ingenmellomrom"/>
        <w:spacing w:after="240" w:line="360" w:lineRule="auto"/>
        <w:jc w:val="both"/>
        <w:rPr>
          <w:color w:val="2A2A2A"/>
          <w:sz w:val="24"/>
          <w:szCs w:val="24"/>
          <w:shd w:val="clear" w:color="auto" w:fill="FFFFFF"/>
        </w:rPr>
      </w:pPr>
      <w:r>
        <w:rPr>
          <w:color w:val="2A2A2A"/>
          <w:sz w:val="24"/>
          <w:szCs w:val="24"/>
          <w:shd w:val="clear" w:color="auto" w:fill="FFFFFF"/>
        </w:rPr>
        <w:t>In paediatric CD, therapy with either anti-TNF drugs or exclusive enteral nutrition (EEN) reduces, but does not eliminate, dysbiosis.</w:t>
      </w:r>
      <w:r>
        <w:rPr>
          <w:color w:val="2A2A2A"/>
          <w:sz w:val="24"/>
          <w:szCs w:val="24"/>
          <w:shd w:val="clear" w:color="auto" w:fill="FFFFFF"/>
        </w:rPr>
        <w:fldChar w:fldCharType="begin"/>
      </w:r>
      <w:r w:rsidR="00935BD9">
        <w:rPr>
          <w:color w:val="2A2A2A"/>
          <w:sz w:val="24"/>
          <w:szCs w:val="24"/>
          <w:shd w:val="clear" w:color="auto" w:fill="FFFFFF"/>
        </w:rPr>
        <w:instrText xml:space="preserve"> ADDIN ZOTERO_ITEM CSL_CITATION {"citationID":"pjWjCdBq","properties":{"formattedCitation":"\\super 54\\nosupersub{}","plainCitation":"54","noteIndex":0},"citationItems":[{"id":195,"uris":["http://zotero.org/users/local/9pHoSXqz/items/M9HLJ4HX"],"uri":["http://zotero.org/users/local/9pHoSXqz/items/M9HLJ4HX"],"itemData":{"id":195,"type":"article-journal","container-title":"Cell Host &amp; Microbe","DOI":"10.1016/j.chom.2015.09.008","ISSN":"19313128","issue":"4","journalAbbreviation":"Cell Host &amp; Microbe","language":"en","page":"489-500","source":"DOI.org (Crossref)","title":"Inflammation, Antibiotics, and Diet as Environmental Stressors of the Gut Microbiome in Pediatric Crohn’s Disease","volume":"18","author":[{"family":"Lewis","given":"James D."},{"family":"Chen","given":"Eric Z."},{"family":"Baldassano","given":"Robert N."},{"family":"Otley","given":"Anthony R."},{"family":"Griffiths","given":"Anne M."},{"family":"Lee","given":"Dale"},{"family":"Bittinger","given":"Kyle"},{"family":"Bailey","given":"Aubrey"},{"family":"Friedman","given":"Elliot S."},{"family":"Hoffmann","given":"Christian"},{"family":"Albenberg","given":"Lindsey"},{"family":"Sinha","given":"Rohini"},{"family":"Compher","given":"Charlene"},{"family":"Gilroy","given":"Erin"},{"family":"Nessel","given":"Lisa"},{"family":"Grant","given":"Amy"},{"family":"Chehoud","given":"Christel"},{"family":"Li","given":"Hongzhe"},{"family":"Wu","given":"Gary D."},{"family":"Bushman","given":"Frederic D."}],"issued":{"date-parts":[["2015",10]]}}}],"schema":"https://github.com/citation-style-language/schema/raw/master/csl-citation.json"} </w:instrText>
      </w:r>
      <w:r>
        <w:rPr>
          <w:color w:val="2A2A2A"/>
          <w:sz w:val="24"/>
          <w:szCs w:val="24"/>
          <w:shd w:val="clear" w:color="auto" w:fill="FFFFFF"/>
        </w:rPr>
        <w:fldChar w:fldCharType="separate"/>
      </w:r>
      <w:r w:rsidR="00935BD9" w:rsidRPr="00935BD9">
        <w:rPr>
          <w:rFonts w:ascii="Calibri" w:hAnsi="Calibri" w:cs="Calibri"/>
          <w:sz w:val="24"/>
          <w:szCs w:val="24"/>
          <w:vertAlign w:val="superscript"/>
        </w:rPr>
        <w:t>54</w:t>
      </w:r>
      <w:r>
        <w:rPr>
          <w:color w:val="2A2A2A"/>
          <w:sz w:val="24"/>
          <w:szCs w:val="24"/>
          <w:shd w:val="clear" w:color="auto" w:fill="FFFFFF"/>
        </w:rPr>
        <w:fldChar w:fldCharType="end"/>
      </w:r>
      <w:r>
        <w:rPr>
          <w:color w:val="2A2A2A"/>
          <w:sz w:val="24"/>
          <w:szCs w:val="24"/>
          <w:shd w:val="clear" w:color="auto" w:fill="FFFFFF"/>
        </w:rPr>
        <w:t xml:space="preserve"> In another study</w:t>
      </w:r>
      <w:r w:rsidR="00612E1A" w:rsidRPr="00DB3F1C">
        <w:rPr>
          <w:color w:val="2A2A2A"/>
          <w:sz w:val="24"/>
          <w:szCs w:val="24"/>
          <w:highlight w:val="yellow"/>
          <w:shd w:val="clear" w:color="auto" w:fill="FFFFFF"/>
        </w:rPr>
        <w:fldChar w:fldCharType="begin"/>
      </w:r>
      <w:r w:rsidR="00935BD9">
        <w:rPr>
          <w:color w:val="2A2A2A"/>
          <w:sz w:val="24"/>
          <w:szCs w:val="24"/>
          <w:highlight w:val="yellow"/>
          <w:shd w:val="clear" w:color="auto" w:fill="FFFFFF"/>
        </w:rPr>
        <w:instrText xml:space="preserve"> ADDIN ZOTERO_ITEM CSL_CITATION {"citationID":"WTiKFaqx","properties":{"formattedCitation":"\\super 46\\nosupersub{}","plainCitation":"46","noteIndex":0},"citationItems":[{"id":82,"uris":["http://zotero.org/users/local/9pHoSXqz/items/X2UYXUA3"],"uri":["http://zotero.org/users/local/9pHoSXqz/items/X2UYXUA3"],"itemData":{"id":82,"type":"article-journal","abstract":"BACKGROUND: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sidR="00612E1A" w:rsidRPr="00DB3F1C">
        <w:rPr>
          <w:color w:val="2A2A2A"/>
          <w:sz w:val="24"/>
          <w:szCs w:val="24"/>
          <w:highlight w:val="yellow"/>
          <w:shd w:val="clear" w:color="auto" w:fill="FFFFFF"/>
        </w:rPr>
        <w:fldChar w:fldCharType="separate"/>
      </w:r>
      <w:r w:rsidR="00935BD9" w:rsidRPr="00935BD9">
        <w:rPr>
          <w:rFonts w:ascii="Calibri" w:hAnsi="Calibri" w:cs="Calibri"/>
          <w:sz w:val="24"/>
          <w:szCs w:val="24"/>
          <w:vertAlign w:val="superscript"/>
        </w:rPr>
        <w:t>46</w:t>
      </w:r>
      <w:r w:rsidR="00612E1A" w:rsidRPr="00DB3F1C">
        <w:rPr>
          <w:color w:val="2A2A2A"/>
          <w:sz w:val="24"/>
          <w:szCs w:val="24"/>
          <w:highlight w:val="yellow"/>
          <w:shd w:val="clear" w:color="auto" w:fill="FFFFFF"/>
        </w:rPr>
        <w:fldChar w:fldCharType="end"/>
      </w:r>
      <w:r>
        <w:rPr>
          <w:color w:val="2A2A2A"/>
          <w:sz w:val="24"/>
          <w:szCs w:val="24"/>
          <w:shd w:val="clear" w:color="auto" w:fill="FFFFFF"/>
        </w:rPr>
        <w:t xml:space="preserve">, </w:t>
      </w:r>
      <w:r w:rsidRPr="00612E1A">
        <w:rPr>
          <w:color w:val="2A2A2A"/>
          <w:sz w:val="24"/>
          <w:szCs w:val="24"/>
          <w:shd w:val="clear" w:color="auto" w:fill="FFFFFF"/>
        </w:rPr>
        <w:t>mesalazine</w:t>
      </w:r>
      <w:r w:rsidR="00DF1042">
        <w:rPr>
          <w:color w:val="2A2A2A"/>
          <w:sz w:val="24"/>
          <w:szCs w:val="24"/>
          <w:shd w:val="clear" w:color="auto" w:fill="FFFFFF"/>
        </w:rPr>
        <w:t xml:space="preserve"> (</w:t>
      </w:r>
      <w:r w:rsidRPr="00612E1A">
        <w:rPr>
          <w:rStyle w:val="Utheving"/>
          <w:color w:val="2A2A2A"/>
          <w:sz w:val="24"/>
          <w:szCs w:val="24"/>
          <w:bdr w:val="none" w:sz="0" w:space="0" w:color="auto" w:frame="1"/>
          <w:shd w:val="clear" w:color="auto" w:fill="FFFFFF"/>
        </w:rPr>
        <w:t>n</w:t>
      </w:r>
      <w:r w:rsidRPr="00612E1A">
        <w:rPr>
          <w:color w:val="2A2A2A"/>
          <w:sz w:val="24"/>
          <w:szCs w:val="24"/>
          <w:shd w:val="clear" w:color="auto" w:fill="FFFFFF"/>
        </w:rPr>
        <w:t> = 9</w:t>
      </w:r>
      <w:r w:rsidR="00DF1042">
        <w:rPr>
          <w:color w:val="2A2A2A"/>
          <w:sz w:val="24"/>
          <w:szCs w:val="24"/>
          <w:shd w:val="clear" w:color="auto" w:fill="FFFFFF"/>
        </w:rPr>
        <w:t>),</w:t>
      </w:r>
      <w:r w:rsidRPr="00612E1A">
        <w:rPr>
          <w:color w:val="2A2A2A"/>
          <w:sz w:val="24"/>
          <w:szCs w:val="24"/>
          <w:shd w:val="clear" w:color="auto" w:fill="FFFFFF"/>
        </w:rPr>
        <w:t xml:space="preserve"> corticoids</w:t>
      </w:r>
      <w:r w:rsidR="00DF1042">
        <w:rPr>
          <w:color w:val="2A2A2A"/>
          <w:sz w:val="24"/>
          <w:szCs w:val="24"/>
          <w:shd w:val="clear" w:color="auto" w:fill="FFFFFF"/>
        </w:rPr>
        <w:t xml:space="preserve"> (</w:t>
      </w:r>
      <w:r w:rsidRPr="00612E1A">
        <w:rPr>
          <w:rStyle w:val="Utheving"/>
          <w:color w:val="2A2A2A"/>
          <w:sz w:val="24"/>
          <w:szCs w:val="24"/>
          <w:bdr w:val="none" w:sz="0" w:space="0" w:color="auto" w:frame="1"/>
          <w:shd w:val="clear" w:color="auto" w:fill="FFFFFF"/>
        </w:rPr>
        <w:t>n</w:t>
      </w:r>
      <w:r w:rsidRPr="00612E1A">
        <w:rPr>
          <w:color w:val="2A2A2A"/>
          <w:sz w:val="24"/>
          <w:szCs w:val="24"/>
          <w:shd w:val="clear" w:color="auto" w:fill="FFFFFF"/>
        </w:rPr>
        <w:t> = 1</w:t>
      </w:r>
      <w:r w:rsidR="00DF1042">
        <w:rPr>
          <w:color w:val="2A2A2A"/>
          <w:sz w:val="24"/>
          <w:szCs w:val="24"/>
          <w:shd w:val="clear" w:color="auto" w:fill="FFFFFF"/>
        </w:rPr>
        <w:t xml:space="preserve">), </w:t>
      </w:r>
      <w:r w:rsidRPr="00612E1A">
        <w:rPr>
          <w:color w:val="2A2A2A"/>
          <w:sz w:val="24"/>
          <w:szCs w:val="24"/>
          <w:shd w:val="clear" w:color="auto" w:fill="FFFFFF"/>
        </w:rPr>
        <w:t>moderate immunosuppressors</w:t>
      </w:r>
      <w:r w:rsidR="00DF1042">
        <w:rPr>
          <w:color w:val="2A2A2A"/>
          <w:sz w:val="24"/>
          <w:szCs w:val="24"/>
          <w:shd w:val="clear" w:color="auto" w:fill="FFFFFF"/>
        </w:rPr>
        <w:t xml:space="preserve"> (</w:t>
      </w:r>
      <w:r w:rsidRPr="00612E1A">
        <w:rPr>
          <w:rStyle w:val="Utheving"/>
          <w:color w:val="2A2A2A"/>
          <w:sz w:val="24"/>
          <w:szCs w:val="24"/>
          <w:bdr w:val="none" w:sz="0" w:space="0" w:color="auto" w:frame="1"/>
          <w:shd w:val="clear" w:color="auto" w:fill="FFFFFF"/>
        </w:rPr>
        <w:t>n</w:t>
      </w:r>
      <w:r w:rsidRPr="00612E1A">
        <w:rPr>
          <w:color w:val="2A2A2A"/>
          <w:sz w:val="24"/>
          <w:szCs w:val="24"/>
          <w:shd w:val="clear" w:color="auto" w:fill="FFFFFF"/>
        </w:rPr>
        <w:t> = 7</w:t>
      </w:r>
      <w:r w:rsidR="00DF1042">
        <w:rPr>
          <w:color w:val="2A2A2A"/>
          <w:sz w:val="24"/>
          <w:szCs w:val="24"/>
          <w:shd w:val="clear" w:color="auto" w:fill="FFFFFF"/>
        </w:rPr>
        <w:t>),</w:t>
      </w:r>
      <w:r w:rsidRPr="00612E1A">
        <w:rPr>
          <w:color w:val="2A2A2A"/>
          <w:sz w:val="24"/>
          <w:szCs w:val="24"/>
          <w:shd w:val="clear" w:color="auto" w:fill="FFFFFF"/>
        </w:rPr>
        <w:t xml:space="preserve"> and anti-tumor necrosis factor</w:t>
      </w:r>
      <w:r w:rsidR="00DF1042">
        <w:rPr>
          <w:color w:val="2A2A2A"/>
          <w:sz w:val="24"/>
          <w:szCs w:val="24"/>
          <w:shd w:val="clear" w:color="auto" w:fill="FFFFFF"/>
        </w:rPr>
        <w:t xml:space="preserve"> antibodies</w:t>
      </w:r>
      <w:r w:rsidRPr="00612E1A">
        <w:rPr>
          <w:color w:val="2A2A2A"/>
          <w:sz w:val="24"/>
          <w:szCs w:val="24"/>
          <w:shd w:val="clear" w:color="auto" w:fill="FFFFFF"/>
        </w:rPr>
        <w:t> </w:t>
      </w:r>
      <w:r w:rsidR="00DF1042">
        <w:rPr>
          <w:color w:val="2A2A2A"/>
          <w:sz w:val="24"/>
          <w:szCs w:val="24"/>
          <w:shd w:val="clear" w:color="auto" w:fill="FFFFFF"/>
        </w:rPr>
        <w:t>(</w:t>
      </w:r>
      <w:r w:rsidRPr="00612E1A">
        <w:rPr>
          <w:rStyle w:val="Utheving"/>
          <w:color w:val="2A2A2A"/>
          <w:sz w:val="24"/>
          <w:szCs w:val="24"/>
          <w:bdr w:val="none" w:sz="0" w:space="0" w:color="auto" w:frame="1"/>
          <w:shd w:val="clear" w:color="auto" w:fill="FFFFFF"/>
        </w:rPr>
        <w:t>n</w:t>
      </w:r>
      <w:r w:rsidRPr="00612E1A">
        <w:rPr>
          <w:color w:val="2A2A2A"/>
          <w:sz w:val="24"/>
          <w:szCs w:val="24"/>
          <w:shd w:val="clear" w:color="auto" w:fill="FFFFFF"/>
        </w:rPr>
        <w:t> = 1</w:t>
      </w:r>
      <w:r w:rsidR="00DF1042">
        <w:rPr>
          <w:color w:val="2A2A2A"/>
          <w:sz w:val="24"/>
          <w:szCs w:val="24"/>
          <w:shd w:val="clear" w:color="auto" w:fill="FFFFFF"/>
        </w:rPr>
        <w:t>)</w:t>
      </w:r>
      <w:r>
        <w:rPr>
          <w:color w:val="2A2A2A"/>
          <w:sz w:val="24"/>
          <w:szCs w:val="24"/>
          <w:shd w:val="clear" w:color="auto" w:fill="FFFFFF"/>
        </w:rPr>
        <w:t xml:space="preserve"> had no effect on the microbiota composition of the </w:t>
      </w:r>
      <w:r w:rsidR="00612E1A">
        <w:rPr>
          <w:color w:val="2A2A2A"/>
          <w:sz w:val="24"/>
          <w:szCs w:val="24"/>
          <w:shd w:val="clear" w:color="auto" w:fill="FFFFFF"/>
        </w:rPr>
        <w:t xml:space="preserve">patients, although the small sample sizes make it impossible to draw conclusions. </w:t>
      </w:r>
    </w:p>
    <w:p w14:paraId="08179606" w14:textId="5A4C35E9" w:rsidR="003679A3" w:rsidRDefault="001E5203" w:rsidP="00704D76">
      <w:pPr>
        <w:pStyle w:val="Overskrift3"/>
        <w:spacing w:line="360" w:lineRule="auto"/>
        <w:jc w:val="both"/>
      </w:pPr>
      <w:bookmarkStart w:id="13" w:name="_Toc93326809"/>
      <w:r>
        <w:t>5</w:t>
      </w:r>
      <w:r w:rsidR="003679A3">
        <w:t>. Dietary habits in Crohn</w:t>
      </w:r>
      <w:r w:rsidR="00F9584F">
        <w:t xml:space="preserve"> </w:t>
      </w:r>
      <w:r w:rsidR="003679A3">
        <w:t>disease patients</w:t>
      </w:r>
      <w:bookmarkEnd w:id="13"/>
    </w:p>
    <w:p w14:paraId="50C60866" w14:textId="2D929AE5" w:rsidR="003679A3" w:rsidRPr="00DB3F1C" w:rsidRDefault="003679A3" w:rsidP="00704D76">
      <w:pPr>
        <w:spacing w:line="360" w:lineRule="auto"/>
        <w:jc w:val="both"/>
        <w:rPr>
          <w:sz w:val="24"/>
          <w:szCs w:val="24"/>
        </w:rPr>
      </w:pPr>
      <w:r w:rsidRPr="00DB3F1C">
        <w:rPr>
          <w:sz w:val="24"/>
          <w:szCs w:val="24"/>
        </w:rPr>
        <w:t>CD and UC patients often identify foods which they believe ameliorate or exacerbate their IBD symptoms.</w:t>
      </w:r>
      <w:r w:rsidRPr="00DB3F1C">
        <w:rPr>
          <w:sz w:val="24"/>
          <w:szCs w:val="24"/>
        </w:rPr>
        <w:fldChar w:fldCharType="begin"/>
      </w:r>
      <w:r w:rsidR="00935BD9">
        <w:rPr>
          <w:sz w:val="24"/>
          <w:szCs w:val="24"/>
        </w:rPr>
        <w:instrText xml:space="preserve"> ADDIN ZOTERO_ITEM CSL_CITATION {"citationID":"ZxpODZXV","properties":{"formattedCitation":"\\super 55,56\\nosupersub{}","plainCitation":"55,56","noteIndex":0},"citationItems":[{"id":121,"uris":["http://zotero.org/users/local/9pHoSXqz/items/QPNRNXIP"],"uri":["http://zotero.org/users/local/9pHoSXqz/items/QPNRNXIP"],"itemData":{"id":121,"type":"article-journal","container-title":"Digestive Diseases and Sciences","DOI":"10.1007/s10620-012-2373-3","ISSN":"0163-2116, 1573-2568","issue":"5","journalAbbreviation":"Dig Dis Sci","language":"en","page":"1322-1328","source":"DOI.org (Crossref)","title":"Dietary Patterns and Self-Reported Associations of Diet with Symptoms of Inflammatory Bowel Disease","volume":"58","author":[{"family":"Cohen","given":"Aaron B."},{"family":"Lee","given":"Dale"},{"family":"Long","given":"Millie D."},{"family":"Kappelman","given":"Michael D."},{"family":"Martin","given":"Christopher F."},{"family":"Sandler","given":"Robert S."},{"family":"Lewis","given":"James D."}],"issued":{"date-parts":[["2013",5]]}}},{"id":123,"uris":["http://zotero.org/users/local/9pHoSXqz/items/6GWU7U5M"],"uri":["http://zotero.org/users/local/9pHoSXqz/items/6GWU7U5M"],"itemData":{"id":123,"type":"article-journal","container-title":"Inflammatory Bowel Diseases","DOI":"10.1097/MIB.0000000000000585","ISSN":"1078-0998","issue":"1","journalAbbreviation":"Inflammatory Bowel Diseases","language":"en","page":"164-170","source":"DOI.org (Crossref)","title":"Dietary Practices and Beliefs in Patients with Inflammatory Bowel Disease:","title-short":"Dietary Practices and Beliefs in Patients with Inflammatory Bowel Disease","volume":"22","author":[{"family":"Limdi","given":"Jimmy K."},{"family":"Aggarwal","given":"Divya"},{"family":"McLaughlin","given":"John T."}],"issued":{"date-parts":[["2016",1]]}}}],"schema":"https://github.com/citation-style-language/schema/raw/master/csl-citation.json"}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55,56</w:t>
      </w:r>
      <w:r w:rsidRPr="00DB3F1C">
        <w:rPr>
          <w:sz w:val="24"/>
          <w:szCs w:val="24"/>
        </w:rPr>
        <w:fldChar w:fldCharType="end"/>
      </w:r>
      <w:r w:rsidRPr="00DB3F1C">
        <w:rPr>
          <w:sz w:val="24"/>
          <w:szCs w:val="24"/>
        </w:rPr>
        <w:t xml:space="preserve"> In one study</w:t>
      </w:r>
      <w:r w:rsidRPr="00DB3F1C">
        <w:rPr>
          <w:sz w:val="24"/>
          <w:szCs w:val="24"/>
        </w:rPr>
        <w:fldChar w:fldCharType="begin"/>
      </w:r>
      <w:r w:rsidR="00935BD9">
        <w:rPr>
          <w:sz w:val="24"/>
          <w:szCs w:val="24"/>
        </w:rPr>
        <w:instrText xml:space="preserve"> ADDIN ZOTERO_ITEM CSL_CITATION {"citationID":"Nb07YAoS","properties":{"formattedCitation":"\\super 56\\nosupersub{}","plainCitation":"56","noteIndex":0},"citationItems":[{"id":123,"uris":["http://zotero.org/users/local/9pHoSXqz/items/6GWU7U5M"],"uri":["http://zotero.org/users/local/9pHoSXqz/items/6GWU7U5M"],"itemData":{"id":123,"type":"article-journal","container-title":"Inflammatory Bowel Diseases","DOI":"10.1097/MIB.0000000000000585","ISSN":"1078-0998","issue":"1","journalAbbreviation":"Inflammatory Bowel Diseases","language":"en","page":"164-170","source":"DOI.org (Crossref)","title":"Dietary Practices and Beliefs in Patients with Inflammatory Bowel Disease:","title-short":"Dietary Practices and Beliefs in Patients with Inflammatory Bowel Disease","volume":"22","author":[{"family":"Limdi","given":"Jimmy K."},{"family":"Aggarwal","given":"Divya"},{"family":"McLaughlin","given":"John T."}],"issued":{"date-parts":[["2016",1]]}}}],"schema":"https://github.com/citation-style-language/schema/raw/master/csl-citation.json"}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56</w:t>
      </w:r>
      <w:r w:rsidRPr="00DB3F1C">
        <w:rPr>
          <w:sz w:val="24"/>
          <w:szCs w:val="24"/>
        </w:rPr>
        <w:fldChar w:fldCharType="end"/>
      </w:r>
      <w:r w:rsidRPr="00DB3F1C">
        <w:rPr>
          <w:sz w:val="24"/>
          <w:szCs w:val="24"/>
        </w:rPr>
        <w:t xml:space="preserve">, 57% of IBD patients felt that diet could trigger a flare-up. 60% of patients reported worsening symptoms with certain foods. In another study, foods frequently reported to worsen symptoms included vegetables, </w:t>
      </w:r>
      <w:r w:rsidRPr="00DB3F1C">
        <w:rPr>
          <w:sz w:val="24"/>
          <w:szCs w:val="24"/>
        </w:rPr>
        <w:lastRenderedPageBreak/>
        <w:t>spicy foods, fruits, nuts, fried foods, milk, red meat, soda, popcorn, dairy products, alcohol, high-fibre foods, corn, fatty foods, seeds, coffee, and beans.</w:t>
      </w:r>
      <w:r w:rsidRPr="00DB3F1C">
        <w:rPr>
          <w:sz w:val="24"/>
          <w:szCs w:val="24"/>
        </w:rPr>
        <w:fldChar w:fldCharType="begin"/>
      </w:r>
      <w:r w:rsidR="00935BD9">
        <w:rPr>
          <w:sz w:val="24"/>
          <w:szCs w:val="24"/>
        </w:rPr>
        <w:instrText xml:space="preserve"> ADDIN ZOTERO_ITEM CSL_CITATION {"citationID":"bpFbMCSa","properties":{"formattedCitation":"\\super 55\\nosupersub{}","plainCitation":"55","noteIndex":0},"citationItems":[{"id":121,"uris":["http://zotero.org/users/local/9pHoSXqz/items/QPNRNXIP"],"uri":["http://zotero.org/users/local/9pHoSXqz/items/QPNRNXIP"],"itemData":{"id":121,"type":"article-journal","container-title":"Digestive Diseases and Sciences","DOI":"10.1007/s10620-012-2373-3","ISSN":"0163-2116, 1573-2568","issue":"5","journalAbbreviation":"Dig Dis Sci","language":"en","page":"1322-1328","source":"DOI.org (Crossref)","title":"Dietary Patterns and Self-Reported Associations of Diet with Symptoms of Inflammatory Bowel Disease","volume":"58","author":[{"family":"Cohen","given":"Aaron B."},{"family":"Lee","given":"Dale"},{"family":"Long","given":"Millie D."},{"family":"Kappelman","given":"Michael D."},{"family":"Martin","given":"Christopher F."},{"family":"Sandler","given":"Robert S."},{"family":"Lewis","given":"James D."}],"issued":{"date-parts":[["2013",5]]}}}],"schema":"https://github.com/citation-style-language/schema/raw/master/csl-citation.json"}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55</w:t>
      </w:r>
      <w:r w:rsidRPr="00DB3F1C">
        <w:rPr>
          <w:sz w:val="24"/>
          <w:szCs w:val="24"/>
        </w:rPr>
        <w:fldChar w:fldCharType="end"/>
      </w:r>
      <w:r w:rsidRPr="00DB3F1C">
        <w:rPr>
          <w:sz w:val="24"/>
          <w:szCs w:val="24"/>
        </w:rPr>
        <w:t xml:space="preserve"> Yoghurt, rice, and bananas were more frequently reported to improve symptoms.</w:t>
      </w:r>
    </w:p>
    <w:p w14:paraId="3296168C" w14:textId="233FF2B3" w:rsidR="003679A3" w:rsidRPr="003679A3" w:rsidRDefault="003679A3" w:rsidP="00704D76">
      <w:pPr>
        <w:spacing w:line="360" w:lineRule="auto"/>
        <w:jc w:val="both"/>
        <w:rPr>
          <w:sz w:val="24"/>
          <w:szCs w:val="24"/>
        </w:rPr>
      </w:pPr>
      <w:r w:rsidRPr="00DB3F1C">
        <w:rPr>
          <w:sz w:val="24"/>
          <w:szCs w:val="24"/>
        </w:rPr>
        <w:t>There is a notable heterogeneity of the group of foods reported to worsen symptoms. It includes both foods</w:t>
      </w:r>
      <w:r>
        <w:rPr>
          <w:sz w:val="24"/>
          <w:szCs w:val="24"/>
        </w:rPr>
        <w:t xml:space="preserve"> which are potentially favourable</w:t>
      </w:r>
      <w:r w:rsidRPr="00DB3F1C">
        <w:rPr>
          <w:sz w:val="24"/>
          <w:szCs w:val="24"/>
        </w:rPr>
        <w:t>, like vegetables, fruits, nuts, seeds, and high-fibre foods, but it also includes foods</w:t>
      </w:r>
      <w:r>
        <w:rPr>
          <w:sz w:val="24"/>
          <w:szCs w:val="24"/>
        </w:rPr>
        <w:t xml:space="preserve"> which are potentially unfavourable</w:t>
      </w:r>
      <w:r w:rsidRPr="00DB3F1C">
        <w:rPr>
          <w:sz w:val="24"/>
          <w:szCs w:val="24"/>
        </w:rPr>
        <w:t>, like fried foods, red meat, soda, alcohol, and fatty foods. One explanation could be that the foods generally assumed to be healthy do not exacerbate the disease process but simply cause symptoms as they would in individuals without IBD. Another explanation could be that there is such a large inter</w:t>
      </w:r>
      <w:r w:rsidR="00DF1042">
        <w:rPr>
          <w:sz w:val="24"/>
          <w:szCs w:val="24"/>
        </w:rPr>
        <w:t>-</w:t>
      </w:r>
      <w:r w:rsidRPr="00DB3F1C">
        <w:rPr>
          <w:sz w:val="24"/>
          <w:szCs w:val="24"/>
        </w:rPr>
        <w:t>individual variability in the response of Crohn disease to certain foods that it’s difficult to draw conclusions regarding similarities and differences in which foods worsen symptoms.</w:t>
      </w:r>
    </w:p>
    <w:p w14:paraId="6A88BA73" w14:textId="27467529" w:rsidR="003679A3" w:rsidRDefault="003679A3" w:rsidP="00704D76">
      <w:pPr>
        <w:spacing w:line="360" w:lineRule="auto"/>
        <w:jc w:val="both"/>
        <w:rPr>
          <w:sz w:val="24"/>
          <w:szCs w:val="24"/>
        </w:rPr>
      </w:pPr>
      <w:r w:rsidRPr="00DB3F1C">
        <w:rPr>
          <w:sz w:val="24"/>
          <w:szCs w:val="24"/>
        </w:rPr>
        <w:t>The aforementioned study</w:t>
      </w:r>
      <w:r w:rsidRPr="00DB3F1C">
        <w:rPr>
          <w:sz w:val="24"/>
          <w:szCs w:val="24"/>
        </w:rPr>
        <w:fldChar w:fldCharType="begin"/>
      </w:r>
      <w:r w:rsidR="00935BD9">
        <w:rPr>
          <w:sz w:val="24"/>
          <w:szCs w:val="24"/>
        </w:rPr>
        <w:instrText xml:space="preserve"> ADDIN ZOTERO_ITEM CSL_CITATION {"citationID":"Bq2vUbQX","properties":{"formattedCitation":"\\super 55\\nosupersub{}","plainCitation":"55","noteIndex":0},"citationItems":[{"id":121,"uris":["http://zotero.org/users/local/9pHoSXqz/items/QPNRNXIP"],"uri":["http://zotero.org/users/local/9pHoSXqz/items/QPNRNXIP"],"itemData":{"id":121,"type":"article-journal","container-title":"Digestive Diseases and Sciences","DOI":"10.1007/s10620-012-2373-3","ISSN":"0163-2116, 1573-2568","issue":"5","journalAbbreviation":"Dig Dis Sci","language":"en","page":"1322-1328","source":"DOI.org (Crossref)","title":"Dietary Patterns and Self-Reported Associations of Diet with Symptoms of Inflammatory Bowel Disease","volume":"58","author":[{"family":"Cohen","given":"Aaron B."},{"family":"Lee","given":"Dale"},{"family":"Long","given":"Millie D."},{"family":"Kappelman","given":"Michael D."},{"family":"Martin","given":"Christopher F."},{"family":"Sandler","given":"Robert S."},{"family":"Lewis","given":"James D."}],"issued":{"date-parts":[["2013",5]]}}}],"schema":"https://github.com/citation-style-language/schema/raw/master/csl-citation.json"}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55</w:t>
      </w:r>
      <w:r w:rsidRPr="00DB3F1C">
        <w:rPr>
          <w:sz w:val="24"/>
          <w:szCs w:val="24"/>
        </w:rPr>
        <w:fldChar w:fldCharType="end"/>
      </w:r>
      <w:r w:rsidRPr="00DB3F1C">
        <w:rPr>
          <w:sz w:val="24"/>
          <w:szCs w:val="24"/>
        </w:rPr>
        <w:t xml:space="preserve"> which examined which foods IBD patients report to worsen or improve their symptoms also found that these patients usually avoid foods which they believe worsen their symptoms. Among the foods which IBD patients usually avoid were many nutrient-rich foods, especially vegetables, fruits, nuts, seeds, and beans. IBD patients may be at risk for nutritional deficiencies if they replace nutrient-rich foods with nutrient-poor foods </w:t>
      </w:r>
      <w:proofErr w:type="gramStart"/>
      <w:r w:rsidRPr="00DB3F1C">
        <w:rPr>
          <w:sz w:val="24"/>
          <w:szCs w:val="24"/>
        </w:rPr>
        <w:t>in an attempt to</w:t>
      </w:r>
      <w:proofErr w:type="gramEnd"/>
      <w:r w:rsidRPr="00DB3F1C">
        <w:rPr>
          <w:sz w:val="24"/>
          <w:szCs w:val="24"/>
        </w:rPr>
        <w:t xml:space="preserve"> ameliorate their symptoms.</w:t>
      </w:r>
    </w:p>
    <w:p w14:paraId="1F22FBF2" w14:textId="4DE179FD" w:rsidR="003679A3" w:rsidRPr="002E2867" w:rsidRDefault="003679A3" w:rsidP="00704D76">
      <w:pPr>
        <w:spacing w:line="360" w:lineRule="auto"/>
        <w:jc w:val="both"/>
        <w:rPr>
          <w:sz w:val="24"/>
          <w:szCs w:val="24"/>
        </w:rPr>
      </w:pPr>
      <w:r>
        <w:rPr>
          <w:sz w:val="24"/>
          <w:szCs w:val="24"/>
        </w:rPr>
        <w:t xml:space="preserve">This tendency was highlighted by a </w:t>
      </w:r>
      <w:r w:rsidR="00254CB2">
        <w:rPr>
          <w:sz w:val="24"/>
          <w:szCs w:val="24"/>
        </w:rPr>
        <w:t>recent</w:t>
      </w:r>
      <w:r>
        <w:rPr>
          <w:sz w:val="24"/>
          <w:szCs w:val="24"/>
        </w:rPr>
        <w:t xml:space="preserve"> case-control study</w:t>
      </w:r>
      <w:r w:rsidR="00523A0E">
        <w:rPr>
          <w:sz w:val="24"/>
          <w:szCs w:val="24"/>
        </w:rPr>
        <w:fldChar w:fldCharType="begin"/>
      </w:r>
      <w:r w:rsidR="00935BD9">
        <w:rPr>
          <w:sz w:val="24"/>
          <w:szCs w:val="24"/>
        </w:rPr>
        <w:instrText xml:space="preserve"> ADDIN ZOTERO_ITEM CSL_CITATION {"citationID":"VYeVCtUj","properties":{"formattedCitation":"\\super 57\\nosupersub{}","plainCitation":"57","noteIndex":0},"citationItems":[{"id":160,"uris":["http://zotero.org/users/local/9pHoSXqz/items/NLVTMVVH"],"uri":["http://zotero.org/users/local/9pHoSXqz/items/NLVTMVVH"],"itemData":{"id":160,"type":"article-journal","abstract":"Abstract\n            \n              Background\n              Since evidence-based dietary guidelines are lacking for IBD patients, they tend to follow “unguided” dietary habits; potentially leading to nutritional deficiencies and detrimental effects on disease course. Therefore, we compared dietary intake of IBD patients with controls.\n            \n            \n              Methods\n              Dietary intake of macronutrients and 25 food groups of 493 patients (207 UC, 286 CD), and 1291 controls was obtained via a food frequency questionnaire.\n            \n            \n              Results\n              38.6% of patients in remission had protein intakes below the recommended 0.8 g/kg and 86.7% with active disease below the recommended 1.2 g/kg. Multinomial logistic regression, corrected for age, gender and BMI, showed that (compared to controls) UC patients consumed more meat and spreads, but less alcohol, breads, coffee and dairy; CD patients consumed more non-alcoholic drinks, potatoes, savoury snacks and sugar and sweets but less alcohol, dairy, nuts, pasta and prepared meals. Patients with active disease consumed more meat, soup and sugar and sweets but less alcohol, coffee, dairy, prepared meals and rice; patients in remission consumed more potatoes and spreads but less alcohol, breads, dairy, nuts, pasta and prepared meals.\n            \n            \n              Conclusions\n              Patients avoiding potentially favourable foods and gourmandizing potentially unfavourable foods are of concern. Special attention is needed for protein intake in the treatment of these patients.","container-title":"European Journal of Nutrition","DOI":"10.1007/s00394-020-02250-z","ISSN":"1436-6207, 1436-6215","issue":"1","journalAbbreviation":"Eur J Nutr","language":"en","page":"345-356","source":"DOI.org (Crossref)","title":"Habitual dietary intake of IBD patients differs from population controls: a case–control study","title-short":"Habitual dietary intake of IBD patients differs from population controls","volume":"60","author":[{"family":"Peters","given":"Vera"},{"family":"Tigchelaar-Feenstra","given":"Ettje F."},{"family":"Imhann","given":"Floris"},{"family":"Dekens","given":"Jackie A. M."},{"family":"Swertz","given":"Morris A."},{"family":"Franke","given":"Lude H."},{"family":"Wijmenga","given":"Cisca"},{"family":"Weersma","given":"Rinse K."},{"family":"Alizadeh","given":"Behrooz Z."},{"family":"Dijkstra","given":"Gerard"},{"family":"Campmans-Kuijpers","given":"Marjo J. E."}],"issued":{"date-parts":[["2021",2]]}}}],"schema":"https://github.com/citation-style-language/schema/raw/master/csl-citation.json"} </w:instrText>
      </w:r>
      <w:r w:rsidR="00523A0E">
        <w:rPr>
          <w:sz w:val="24"/>
          <w:szCs w:val="24"/>
        </w:rPr>
        <w:fldChar w:fldCharType="separate"/>
      </w:r>
      <w:r w:rsidR="00935BD9" w:rsidRPr="00935BD9">
        <w:rPr>
          <w:rFonts w:ascii="Calibri" w:hAnsi="Calibri" w:cs="Calibri"/>
          <w:sz w:val="24"/>
          <w:szCs w:val="24"/>
          <w:vertAlign w:val="superscript"/>
        </w:rPr>
        <w:t>57</w:t>
      </w:r>
      <w:r w:rsidR="00523A0E">
        <w:rPr>
          <w:sz w:val="24"/>
          <w:szCs w:val="24"/>
        </w:rPr>
        <w:fldChar w:fldCharType="end"/>
      </w:r>
      <w:r>
        <w:rPr>
          <w:sz w:val="24"/>
          <w:szCs w:val="24"/>
        </w:rPr>
        <w:t xml:space="preserve"> which compared the habitual dietary intake of IBD patients with that of population controls. It compared the dietary intake of macronutrients and 25 food groups of 493 IBD patients and 1291 controls via a food frequency questionnaire. Compared to the population control, CD patients consumed more non-alcoholic drinks, potatoes, savoury snacks, sugar, and sweets, but less alcohol, dairy, nuts, pasta, and prepared meals.</w:t>
      </w:r>
    </w:p>
    <w:p w14:paraId="3F3C6AE8" w14:textId="5E11B7A0" w:rsidR="00932A3F" w:rsidRPr="006C351C" w:rsidRDefault="00512146" w:rsidP="00704D76">
      <w:pPr>
        <w:spacing w:line="360" w:lineRule="auto"/>
        <w:jc w:val="both"/>
        <w:rPr>
          <w:sz w:val="24"/>
          <w:szCs w:val="24"/>
        </w:rPr>
      </w:pPr>
      <w:r>
        <w:rPr>
          <w:sz w:val="24"/>
          <w:szCs w:val="24"/>
        </w:rPr>
        <w:lastRenderedPageBreak/>
        <w:t>The European Society for Clinical Nutrition and Metabolism (ESPEN) recommend adult IBD patients with active disease a daily protein intake of 1,2 – 1,5 g/kg body weight, and patients in remission a daily intake of 0,8 g/kg body weight.</w:t>
      </w:r>
      <w:r w:rsidR="00523A0E">
        <w:rPr>
          <w:sz w:val="24"/>
          <w:szCs w:val="24"/>
        </w:rPr>
        <w:fldChar w:fldCharType="begin"/>
      </w:r>
      <w:r w:rsidR="00935BD9">
        <w:rPr>
          <w:sz w:val="24"/>
          <w:szCs w:val="24"/>
        </w:rPr>
        <w:instrText xml:space="preserve"> ADDIN ZOTERO_ITEM CSL_CITATION {"citationID":"9nsu1bQj","properties":{"formattedCitation":"\\super 58\\nosupersub{}","plainCitation":"58","noteIndex":0},"citationItems":[{"id":162,"uris":["http://zotero.org/users/local/9pHoSXqz/items/DSGETTUZ"],"uri":["http://zotero.org/users/local/9pHoSXqz/items/DSGETTUZ"],"itemData":{"id":162,"type":"article-journal","container-title":"Clinical Nutrition","DOI":"10.1016/j.clnu.2016.12.027","ISSN":"02615614","issue":"2","journalAbbreviation":"Clinical Nutrition","language":"en","page":"321-347","source":"DOI.org (Crossref)","title":"ESPEN guideline: Clinical nutrition in inflammatory bowel disease","title-short":"ESPEN guideline","volume":"36","author":[{"family":"Forbes","given":"Alastair"},{"family":"Escher","given":"Johanna"},{"family":"Hébuterne","given":"Xavier"},{"family":"Kłęk","given":"Stanisław"},{"family":"Krznaric","given":"Zeljko"},{"family":"Schneider","given":"Stéphane"},{"family":"Shamir","given":"Raanan"},{"family":"Stardelova","given":"Kalina"},{"family":"Wierdsma","given":"Nicolette"},{"family":"Wiskin","given":"Anthony E."},{"family":"Bischoff","given":"Stephan C."}],"issued":{"date-parts":[["2017",4]]}}}],"schema":"https://github.com/citation-style-language/schema/raw/master/csl-citation.json"} </w:instrText>
      </w:r>
      <w:r w:rsidR="00523A0E">
        <w:rPr>
          <w:sz w:val="24"/>
          <w:szCs w:val="24"/>
        </w:rPr>
        <w:fldChar w:fldCharType="separate"/>
      </w:r>
      <w:r w:rsidR="00935BD9" w:rsidRPr="00935BD9">
        <w:rPr>
          <w:rFonts w:ascii="Calibri" w:hAnsi="Calibri" w:cs="Calibri"/>
          <w:sz w:val="24"/>
          <w:szCs w:val="24"/>
          <w:vertAlign w:val="superscript"/>
        </w:rPr>
        <w:t>58</w:t>
      </w:r>
      <w:r w:rsidR="00523A0E">
        <w:rPr>
          <w:sz w:val="24"/>
          <w:szCs w:val="24"/>
        </w:rPr>
        <w:fldChar w:fldCharType="end"/>
      </w:r>
      <w:r>
        <w:rPr>
          <w:sz w:val="24"/>
          <w:szCs w:val="24"/>
        </w:rPr>
        <w:t xml:space="preserve"> The </w:t>
      </w:r>
      <w:r w:rsidR="003679A3">
        <w:rPr>
          <w:sz w:val="24"/>
          <w:szCs w:val="24"/>
        </w:rPr>
        <w:t>aforementioned</w:t>
      </w:r>
      <w:r>
        <w:rPr>
          <w:sz w:val="24"/>
          <w:szCs w:val="24"/>
        </w:rPr>
        <w:t xml:space="preserve"> case-control study</w:t>
      </w:r>
      <w:r w:rsidR="00523A0E">
        <w:rPr>
          <w:sz w:val="24"/>
          <w:szCs w:val="24"/>
        </w:rPr>
        <w:fldChar w:fldCharType="begin"/>
      </w:r>
      <w:r w:rsidR="00935BD9">
        <w:rPr>
          <w:sz w:val="24"/>
          <w:szCs w:val="24"/>
        </w:rPr>
        <w:instrText xml:space="preserve"> ADDIN ZOTERO_ITEM CSL_CITATION {"citationID":"i6jzTvN4","properties":{"formattedCitation":"\\super 57\\nosupersub{}","plainCitation":"57","noteIndex":0},"citationItems":[{"id":160,"uris":["http://zotero.org/users/local/9pHoSXqz/items/NLVTMVVH"],"uri":["http://zotero.org/users/local/9pHoSXqz/items/NLVTMVVH"],"itemData":{"id":160,"type":"article-journal","abstract":"Abstract\n            \n              Background\n              Since evidence-based dietary guidelines are lacking for IBD patients, they tend to follow “unguided” dietary habits; potentially leading to nutritional deficiencies and detrimental effects on disease course. Therefore, we compared dietary intake of IBD patients with controls.\n            \n            \n              Methods\n              Dietary intake of macronutrients and 25 food groups of 493 patients (207 UC, 286 CD), and 1291 controls was obtained via a food frequency questionnaire.\n            \n            \n              Results\n              38.6% of patients in remission had protein intakes below the recommended 0.8 g/kg and 86.7% with active disease below the recommended 1.2 g/kg. Multinomial logistic regression, corrected for age, gender and BMI, showed that (compared to controls) UC patients consumed more meat and spreads, but less alcohol, breads, coffee and dairy; CD patients consumed more non-alcoholic drinks, potatoes, savoury snacks and sugar and sweets but less alcohol, dairy, nuts, pasta and prepared meals. Patients with active disease consumed more meat, soup and sugar and sweets but less alcohol, coffee, dairy, prepared meals and rice; patients in remission consumed more potatoes and spreads but less alcohol, breads, dairy, nuts, pasta and prepared meals.\n            \n            \n              Conclusions\n              Patients avoiding potentially favourable foods and gourmandizing potentially unfavourable foods are of concern. Special attention is needed for protein intake in the treatment of these patients.","container-title":"European Journal of Nutrition","DOI":"10.1007/s00394-020-02250-z","ISSN":"1436-6207, 1436-6215","issue":"1","journalAbbreviation":"Eur J Nutr","language":"en","page":"345-356","source":"DOI.org (Crossref)","title":"Habitual dietary intake of IBD patients differs from population controls: a case–control study","title-short":"Habitual dietary intake of IBD patients differs from population controls","volume":"60","author":[{"family":"Peters","given":"Vera"},{"family":"Tigchelaar-Feenstra","given":"Ettje F."},{"family":"Imhann","given":"Floris"},{"family":"Dekens","given":"Jackie A. M."},{"family":"Swertz","given":"Morris A."},{"family":"Franke","given":"Lude H."},{"family":"Wijmenga","given":"Cisca"},{"family":"Weersma","given":"Rinse K."},{"family":"Alizadeh","given":"Behrooz Z."},{"family":"Dijkstra","given":"Gerard"},{"family":"Campmans-Kuijpers","given":"Marjo J. E."}],"issued":{"date-parts":[["2021",2]]}}}],"schema":"https://github.com/citation-style-language/schema/raw/master/csl-citation.json"} </w:instrText>
      </w:r>
      <w:r w:rsidR="00523A0E">
        <w:rPr>
          <w:sz w:val="24"/>
          <w:szCs w:val="24"/>
        </w:rPr>
        <w:fldChar w:fldCharType="separate"/>
      </w:r>
      <w:r w:rsidR="00935BD9" w:rsidRPr="00935BD9">
        <w:rPr>
          <w:rFonts w:ascii="Calibri" w:hAnsi="Calibri" w:cs="Calibri"/>
          <w:sz w:val="24"/>
          <w:szCs w:val="24"/>
          <w:vertAlign w:val="superscript"/>
        </w:rPr>
        <w:t>57</w:t>
      </w:r>
      <w:r w:rsidR="00523A0E">
        <w:rPr>
          <w:sz w:val="24"/>
          <w:szCs w:val="24"/>
        </w:rPr>
        <w:fldChar w:fldCharType="end"/>
      </w:r>
      <w:r w:rsidR="003679A3">
        <w:rPr>
          <w:sz w:val="24"/>
          <w:szCs w:val="24"/>
        </w:rPr>
        <w:t xml:space="preserve"> </w:t>
      </w:r>
      <w:r>
        <w:rPr>
          <w:sz w:val="24"/>
          <w:szCs w:val="24"/>
        </w:rPr>
        <w:t xml:space="preserve">found that 86,7% of IBD patients in the study with active disease had a daily protein intake </w:t>
      </w:r>
      <w:r w:rsidR="006A5B75">
        <w:rPr>
          <w:sz w:val="24"/>
          <w:szCs w:val="24"/>
        </w:rPr>
        <w:t>below the recommended</w:t>
      </w:r>
      <w:r>
        <w:rPr>
          <w:sz w:val="24"/>
          <w:szCs w:val="24"/>
        </w:rPr>
        <w:t xml:space="preserve"> 1,2 g/kg body weight</w:t>
      </w:r>
      <w:r w:rsidR="006A5B75">
        <w:rPr>
          <w:sz w:val="24"/>
          <w:szCs w:val="24"/>
        </w:rPr>
        <w:t>, and 38,6% of patients in remission had a daily protein intake below the recommended 0,8 g/kg body weight.</w:t>
      </w:r>
    </w:p>
    <w:p w14:paraId="3C5268E2" w14:textId="4DBEA485" w:rsidR="00D9608D" w:rsidRDefault="006C351C" w:rsidP="00704D76">
      <w:pPr>
        <w:pStyle w:val="Overskrift3"/>
        <w:spacing w:line="360" w:lineRule="auto"/>
        <w:jc w:val="both"/>
      </w:pPr>
      <w:bookmarkStart w:id="14" w:name="_Toc93326810"/>
      <w:r>
        <w:t>6</w:t>
      </w:r>
      <w:r w:rsidR="00D9608D">
        <w:t xml:space="preserve">. </w:t>
      </w:r>
      <w:r w:rsidR="00405436">
        <w:t xml:space="preserve">Specific dietary </w:t>
      </w:r>
      <w:r w:rsidR="00A015C7">
        <w:t>interventions</w:t>
      </w:r>
      <w:bookmarkEnd w:id="14"/>
    </w:p>
    <w:p w14:paraId="55CCD2EA" w14:textId="2A4FF8C3" w:rsidR="00827D68" w:rsidRDefault="006C351C" w:rsidP="00704D76">
      <w:pPr>
        <w:pStyle w:val="Overskrift4"/>
        <w:jc w:val="both"/>
      </w:pPr>
      <w:bookmarkStart w:id="15" w:name="_Toc93326811"/>
      <w:r>
        <w:t>6</w:t>
      </w:r>
      <w:r w:rsidR="00827D68">
        <w:t>.1</w:t>
      </w:r>
      <w:r w:rsidR="00E23D64">
        <w:t>.</w:t>
      </w:r>
      <w:r w:rsidR="004F55A2">
        <w:t xml:space="preserve"> Dietary fibre</w:t>
      </w:r>
      <w:bookmarkEnd w:id="15"/>
      <w:r w:rsidR="00827D68">
        <w:t xml:space="preserve"> </w:t>
      </w:r>
    </w:p>
    <w:p w14:paraId="13B7F4D3" w14:textId="321C2F18" w:rsidR="00190899" w:rsidRPr="00DB3F1C" w:rsidRDefault="00056C96" w:rsidP="00704D76">
      <w:pPr>
        <w:spacing w:line="360" w:lineRule="auto"/>
        <w:jc w:val="both"/>
        <w:rPr>
          <w:i/>
          <w:iCs/>
          <w:sz w:val="24"/>
          <w:szCs w:val="24"/>
        </w:rPr>
      </w:pPr>
      <w:r w:rsidRPr="00DB3F1C">
        <w:rPr>
          <w:sz w:val="24"/>
          <w:szCs w:val="24"/>
        </w:rPr>
        <w:t xml:space="preserve">The </w:t>
      </w:r>
      <w:r w:rsidR="0008288A" w:rsidRPr="00DB3F1C">
        <w:rPr>
          <w:sz w:val="24"/>
          <w:szCs w:val="24"/>
        </w:rPr>
        <w:t>potential</w:t>
      </w:r>
      <w:r w:rsidRPr="00DB3F1C">
        <w:rPr>
          <w:sz w:val="24"/>
          <w:szCs w:val="24"/>
        </w:rPr>
        <w:t xml:space="preserve"> of short-chain fatty acids </w:t>
      </w:r>
      <w:r w:rsidR="0008288A" w:rsidRPr="00DB3F1C">
        <w:rPr>
          <w:sz w:val="24"/>
          <w:szCs w:val="24"/>
        </w:rPr>
        <w:t>in the treatment of IBD has been theorised.</w:t>
      </w:r>
      <w:r w:rsidR="0008288A" w:rsidRPr="00DB3F1C">
        <w:rPr>
          <w:sz w:val="24"/>
          <w:szCs w:val="24"/>
        </w:rPr>
        <w:fldChar w:fldCharType="begin"/>
      </w:r>
      <w:r w:rsidR="008F07A8">
        <w:rPr>
          <w:sz w:val="24"/>
          <w:szCs w:val="24"/>
        </w:rPr>
        <w:instrText xml:space="preserve"> ADDIN ZOTERO_ITEM CSL_CITATION {"citationID":"e1fvh4iP","properties":{"formattedCitation":"\\super 34,35\\nosupersub{}","plainCitation":"34,35","noteIndex":0},"citationItems":[{"id":76,"uris":["http://zotero.org/users/local/9pHoSXqz/items/9LGBKZXV"],"uri":["http://zotero.org/users/local/9pHoSXqz/items/9LGBKZXV"],"itemData":{"id":76,"type":"article-journal","container-title":"World Journal of Gastroenterology","DOI":"10.3748/wjg.v13.i20.2826","ISSN":"1007-9327","issue":"20","journalAbbreviation":"WJG","language":"en","page":"2826","source":"DOI.org (Crossref)","title":"Anti-inflammatory properties of the short-chain fatty acids acetate and propionate: A study with relevance to inflammatory bowel disease","title-short":"Anti-inflammatory properties of the short-chain fatty acids acetate and propionate","volume":"13","author":[{"family":"Tedelind","given":"Sofia"},{"family":"Westberg","given":"Fredrik"},{"family":"Kjerrulf","given":"Martin"},{"family":"Vidal","given":"Alexander"}],"issued":{"date-parts":[["2007"]]}}},{"id":78,"uris":["http://zotero.org/users/local/9pHoSXqz/items/JTFYE66X"],"uri":["http://zotero.org/users/local/9pHoSXqz/items/JTFYE66X"],"itemData":{"id":78,"type":"article-journal","container-title":"Gut","DOI":"10.1136/gut.47.3.397","ISSN":"00175749","issue":"3","page":"397-403","source":"DOI.org (Crossref)","title":"Butyrate inhibits inflammatory responses through NFkappa B inhibition: implications for Crohn's disease","title-short":"Butyrate inhibits inflammatory responses through NFkappa B inhibition","volume":"47","author":[{"family":"Segain","given":"J-P"}],"issued":{"date-parts":[["2000",9,1]]}}}],"schema":"https://github.com/citation-style-language/schema/raw/master/csl-citation.json"} </w:instrText>
      </w:r>
      <w:r w:rsidR="0008288A" w:rsidRPr="00DB3F1C">
        <w:rPr>
          <w:sz w:val="24"/>
          <w:szCs w:val="24"/>
        </w:rPr>
        <w:fldChar w:fldCharType="separate"/>
      </w:r>
      <w:r w:rsidR="008F07A8" w:rsidRPr="008F07A8">
        <w:rPr>
          <w:rFonts w:ascii="Calibri" w:hAnsi="Calibri" w:cs="Calibri"/>
          <w:sz w:val="24"/>
          <w:szCs w:val="24"/>
          <w:vertAlign w:val="superscript"/>
        </w:rPr>
        <w:t>34,35</w:t>
      </w:r>
      <w:r w:rsidR="0008288A" w:rsidRPr="00DB3F1C">
        <w:rPr>
          <w:sz w:val="24"/>
          <w:szCs w:val="24"/>
        </w:rPr>
        <w:fldChar w:fldCharType="end"/>
      </w:r>
      <w:r w:rsidR="0008288A" w:rsidRPr="00DB3F1C">
        <w:rPr>
          <w:sz w:val="24"/>
          <w:szCs w:val="24"/>
        </w:rPr>
        <w:t xml:space="preserve"> </w:t>
      </w:r>
      <w:r w:rsidR="004F3A30" w:rsidRPr="00DB3F1C">
        <w:rPr>
          <w:sz w:val="24"/>
          <w:szCs w:val="24"/>
        </w:rPr>
        <w:t>Administration of a trans-</w:t>
      </w:r>
      <w:proofErr w:type="spellStart"/>
      <w:r w:rsidR="004F3A30" w:rsidRPr="00DB3F1C">
        <w:rPr>
          <w:sz w:val="24"/>
          <w:szCs w:val="24"/>
        </w:rPr>
        <w:t>galacto</w:t>
      </w:r>
      <w:proofErr w:type="spellEnd"/>
      <w:r w:rsidR="004F3A30" w:rsidRPr="00DB3F1C">
        <w:rPr>
          <w:sz w:val="24"/>
          <w:szCs w:val="24"/>
        </w:rPr>
        <w:t>-oligosaccharides, a form of oligosaccharides, stimulated the growth of bifidobacteria and changes the intracolonic fermentation metabolism to produce more SCFAs.</w:t>
      </w:r>
      <w:r w:rsidR="004F3A30" w:rsidRPr="00DB3F1C">
        <w:rPr>
          <w:sz w:val="24"/>
          <w:szCs w:val="24"/>
        </w:rPr>
        <w:fldChar w:fldCharType="begin"/>
      </w:r>
      <w:r w:rsidR="00935BD9">
        <w:rPr>
          <w:sz w:val="24"/>
          <w:szCs w:val="24"/>
        </w:rPr>
        <w:instrText xml:space="preserve"> ADDIN ZOTERO_ITEM CSL_CITATION {"citationID":"akPmxIKg","properties":{"formattedCitation":"\\super 59\\nosupersub{}","plainCitation":"59","noteIndex":0},"citationItems":[{"id":80,"uris":["http://zotero.org/users/local/9pHoSXqz/items/YE2ZQLPP"],"uri":["http://zotero.org/users/local/9pHoSXqz/items/YE2ZQLPP"],"itemData":{"id":80,"type":"article-journal","container-title":"The Journal of Nutrition","DOI":"10.1093/jn/127.3.444","ISSN":"0022-3166, 1541-6100","issue":"3","language":"en","page":"444-448","source":"DOI.org (Crossref)","title":"Administration of Transgalacto-Oligosaccharides Increases Fecal Bifidobacteria and Modifies Colonic Fermentation Metabolism in Healthy Humans","volume":"127","author":[{"family":"Bouhnik","given":"Yoram"},{"family":"Flourié","given":"Bernard"},{"family":"D'Agay-Abensour","given":"Laurence"},{"family":"Pochart","given":"Philippe"},{"family":"Gramet","given":"Geneviève"},{"family":"Durand","given":"Michéle"},{"family":"Rambaud","given":"Jean-Claude"}],"issued":{"date-parts":[["1997",3,1]]}}}],"schema":"https://github.com/citation-style-language/schema/raw/master/csl-citation.json"} </w:instrText>
      </w:r>
      <w:r w:rsidR="004F3A30" w:rsidRPr="00DB3F1C">
        <w:rPr>
          <w:sz w:val="24"/>
          <w:szCs w:val="24"/>
        </w:rPr>
        <w:fldChar w:fldCharType="separate"/>
      </w:r>
      <w:r w:rsidR="00935BD9" w:rsidRPr="00935BD9">
        <w:rPr>
          <w:rFonts w:ascii="Calibri" w:hAnsi="Calibri" w:cs="Calibri"/>
          <w:sz w:val="24"/>
          <w:szCs w:val="24"/>
          <w:vertAlign w:val="superscript"/>
        </w:rPr>
        <w:t>59</w:t>
      </w:r>
      <w:r w:rsidR="004F3A30" w:rsidRPr="00DB3F1C">
        <w:rPr>
          <w:sz w:val="24"/>
          <w:szCs w:val="24"/>
        </w:rPr>
        <w:fldChar w:fldCharType="end"/>
      </w:r>
      <w:r w:rsidR="006F6740">
        <w:rPr>
          <w:sz w:val="24"/>
          <w:szCs w:val="24"/>
        </w:rPr>
        <w:t xml:space="preserve"> </w:t>
      </w:r>
      <w:r w:rsidR="00190899" w:rsidRPr="00DB3F1C">
        <w:rPr>
          <w:sz w:val="24"/>
          <w:szCs w:val="24"/>
        </w:rPr>
        <w:t>The role of decreased fibre intake in the increased incidence of disease has been known for</w:t>
      </w:r>
      <w:r w:rsidR="00D41955">
        <w:rPr>
          <w:sz w:val="24"/>
          <w:szCs w:val="24"/>
        </w:rPr>
        <w:t xml:space="preserve"> decades</w:t>
      </w:r>
      <w:r w:rsidR="00190899" w:rsidRPr="00DB3F1C">
        <w:rPr>
          <w:sz w:val="24"/>
          <w:szCs w:val="24"/>
        </w:rPr>
        <w:t>.</w:t>
      </w:r>
    </w:p>
    <w:p w14:paraId="67A3324C" w14:textId="6045DB03" w:rsidR="00190899" w:rsidRDefault="00190899" w:rsidP="00704D76">
      <w:pPr>
        <w:spacing w:line="360" w:lineRule="auto"/>
        <w:jc w:val="both"/>
        <w:rPr>
          <w:sz w:val="24"/>
          <w:szCs w:val="24"/>
        </w:rPr>
      </w:pPr>
      <w:r>
        <w:rPr>
          <w:sz w:val="24"/>
          <w:szCs w:val="24"/>
        </w:rPr>
        <w:t>Several cell culture and animal model studies have shown that butyrate can strengthen epithelial barrier function and decrease intestinal permeability.</w:t>
      </w:r>
      <w:r>
        <w:rPr>
          <w:sz w:val="24"/>
          <w:szCs w:val="24"/>
        </w:rPr>
        <w:fldChar w:fldCharType="begin"/>
      </w:r>
      <w:r w:rsidR="00935BD9">
        <w:rPr>
          <w:sz w:val="24"/>
          <w:szCs w:val="24"/>
        </w:rPr>
        <w:instrText xml:space="preserve"> ADDIN ZOTERO_ITEM CSL_CITATION {"citationID":"Jg6P8dA1","properties":{"formattedCitation":"\\super 60\\uc0\\u8211{}62\\nosupersub{}","plainCitation":"60–62","noteIndex":0},"citationItems":[{"id":148,"uris":["http://zotero.org/users/local/9pHoSXqz/items/HJ82A9C6"],"uri":["http://zotero.org/users/local/9pHoSXqz/items/HJ82A9C6"],"itemData":{"id":148,"type":"article-journal","abstract":"Control of paracellular permeability in the colonic epithelium is fundamental to its functional competence. This study examines the relationship between physiologically relevant short-chain fatty acids (SCFAs) and paracellular permeability using the Caco-2 cell line model. Butyrate induced a concentration-dependent, reversible increase in transepithelial resistance (TER) that was maximal after 72 h. Butyrate (2 mM) increased TER by 299 +/- 69% (mean +/- SE; n = 5; P &lt; 0.05; t-test) and reduced mannitol flux to 52 +/- 11% (P &lt; 0.05) of control. The effect of butyrate was dependent on protein synthesis and gene transcription but not dependent on its oxidation or activation of adenosine 3',5'-cyclic monophosphate. The other SCFAs, propionate and acetate, also induced a concentration-dependent increase in TER. The effect of butyrate paralleled changes in cellular differentiation, because alkaline phosphatase activity, carcinoembryonic antigen expression, and dome formation were increased. Furthermore, other differentiating agents (dimethyl sulfoxide and retinoic acid) also increased TER. Thus SCFAs reduce paracellular permeability in the Caco-2 cell line, possibly by promotion of a more differentiated phenotype. If such an effect occurs in vivo, it may have ramifications for the biology and pathobiology of colonic mucosa.","container-title":"American Journal of Physiology-Gastrointestinal and Liver Physiology","DOI":"10.1152/ajpgi.1997.272.4.G705","ISSN":"0193-1857, 1522-1547","issue":"4","journalAbbreviation":"American Journal of Physiology-Gastrointestinal and Liver Physiology","language":"en","page":"G705-G712","source":"DOI.org (Crossref)","title":"Effect of short-chain fatty acids on paracellular permeability in Caco-2 intestinal epithelium model","volume":"272","author":[{"family":"Mariadason","given":"J. M."},{"family":"Barkla","given":"D. H."},{"family":"Gibson","given":"P. R."}],"issued":{"date-parts":[["1997",4,1]]}}},{"id":149,"uris":["http://zotero.org/users/local/9pHoSXqz/items/R9379HEH"],"uri":["http://zotero.org/users/local/9pHoSXqz/items/R9379HEH"],"itemData":{"id":149,"type":"article-journal","container-title":"The Journal of Nutrition","DOI":"10.3945/jn.113.179549","ISSN":"0022-3166, 1541-6100","issue":"12","language":"en","page":"1872-1881","source":"DOI.org (Crossref)","title":"Short-Chain Fatty Acids Activate AMP-Activated Protein Kinase and Ameliorate Ethanol-Induced Intestinal Barrier Dysfunction in Caco-2 Cell Monolayers","volume":"143","author":[{"family":"Elamin","given":"Elhaseen E."},{"family":"Masclee","given":"Ad A."},{"family":"Dekker","given":"Jan"},{"family":"Pieters","given":"Harm-Jan"},{"family":"Jonkers","given":"Daisy M."}],"issued":{"date-parts":[["2013",12,1]]}}},{"id":151,"uris":["http://zotero.org/users/local/9pHoSXqz/items/NCMLP77F"],"uri":["http://zotero.org/users/local/9pHoSXqz/items/NCMLP77F"],"itemData":{"id":151,"type":"article-journal","container-title":"Scandinavian Journal of Gastroenterology","DOI":"10.1080/003655200451171","ISSN":"0036-5521, 1502-7708","issue":"10","journalAbbreviation":"Scandinavian Journal of Gastroenterology","language":"en","page":"1053-1059","source":"DOI.org (Crossref)","title":"Increased Permeability in Dextran Sulphate Colitis in Rats: Time Course of Development and Effect of Butyrate","title-short":"Increased Permeability in Dextran Sulphate Colitis in Rats","volume":"35","author":[{"literal":"A. Venkatraman, B. S. Ramakrishna,"}],"issued":{"date-parts":[["2000",1]]}}}],"schema":"https://github.com/citation-style-language/schema/raw/master/csl-citation.json"}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60–62</w:t>
      </w:r>
      <w:r>
        <w:rPr>
          <w:sz w:val="24"/>
          <w:szCs w:val="24"/>
        </w:rPr>
        <w:fldChar w:fldCharType="end"/>
      </w:r>
      <w:r>
        <w:rPr>
          <w:sz w:val="24"/>
          <w:szCs w:val="24"/>
        </w:rPr>
        <w:t xml:space="preserve"> However, a ex vivo study </w:t>
      </w:r>
      <w:r w:rsidR="00254CB2">
        <w:rPr>
          <w:sz w:val="24"/>
          <w:szCs w:val="24"/>
        </w:rPr>
        <w:t xml:space="preserve">from 2020 </w:t>
      </w:r>
      <w:r>
        <w:rPr>
          <w:sz w:val="24"/>
          <w:szCs w:val="24"/>
        </w:rPr>
        <w:t>on the acute effects of butyrate on colonic hyperpermeability of human colonic specimens found that butyrate had no protective effects against development of colonic hyperpermeability induced by a mast cell degranulator.</w:t>
      </w:r>
      <w:r>
        <w:rPr>
          <w:sz w:val="24"/>
          <w:szCs w:val="24"/>
        </w:rPr>
        <w:fldChar w:fldCharType="begin"/>
      </w:r>
      <w:r w:rsidR="00935BD9">
        <w:rPr>
          <w:sz w:val="24"/>
          <w:szCs w:val="24"/>
        </w:rPr>
        <w:instrText xml:space="preserve"> ADDIN ZOTERO_ITEM CSL_CITATION {"citationID":"Z9zqQzPO","properties":{"formattedCitation":"\\super 63\\nosupersub{}","plainCitation":"63","noteIndex":0},"citationItems":[{"id":152,"uris":["http://zotero.org/users/local/9pHoSXqz/items/3SFF9MZ4"],"uri":["http://zotero.org/users/local/9pHoSXqz/items/3SFF9MZ4"],"itemData":{"id":152,"type":"article-journal","abstract":"Intact intestinal barrier function is essential for maintaining intestinal homeostasis. A dysfunctional intestinal barrier can lead to local and systemic inflammation through translocation of luminal antigens and has been associated with a range of health disorders. Butyrate, a short-chain fatty acid derived from microbial fermentation of dietary fibers in the colon, has been described as an intestinal barrier-strengthening agent, although mainly by using in vitro and animal models. This study aimed to investigate butyrate’s ability to prevent intestinal hyperpermeability, induced by the mast cell degranulator Compound 48/80 (C48/80), in human colonic tissues. Colonic biopsies were collected from 16 healthy subjects and intestinal permeability was assessed by Ussing chamber experiments. Furthermore, the expression levels of tight junction-related proteins were determined by quantitative reverse transcription polymerase chain reaction (qRT-PCR). Pre-treatment with 5 mM butyrate or 25 mM butyrate did not protect the colonic tissue against induced paracellular or transcellular hyperpermeability, measured by FITC-dextran and horseradish peroxidase passage, respectively. Biopsies treated with 25 mM butyrate prior to stimulation with C48/80 showed a reduced expression of claudin 1. In conclusion, this translational ex vivo study did not demonstrate an acute protective effect of butyrate against a chemical insult to the intestinal barrier in healthy humans.","container-title":"Biomolecules","DOI":"10.3390/biom10050766","ISSN":"2218-273X","issue":"5","journalAbbreviation":"Biomolecules","language":"en","page":"766","source":"DOI.org (Crossref)","title":"Acute Effects of Butyrate on Induced Hyperpermeability and Tight Junction Protein Expression in Human Colonic Tissues","volume":"10","author":[{"family":"Tabat","given":"Mathias W."},{"family":"Marques","given":"Tatiana M."},{"family":"Markgren","given":"Malin"},{"family":"Löfvendahl","given":"Liza"},{"family":"Brummer","given":"Robert J."},{"family":"Wall","given":"Rebecca"}],"issued":{"date-parts":[["2020",5,14]]}}}],"schema":"https://github.com/citation-style-language/schema/raw/master/csl-citation.json"}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63</w:t>
      </w:r>
      <w:r>
        <w:rPr>
          <w:sz w:val="24"/>
          <w:szCs w:val="24"/>
        </w:rPr>
        <w:fldChar w:fldCharType="end"/>
      </w:r>
    </w:p>
    <w:p w14:paraId="01252B13" w14:textId="2C55AE07" w:rsidR="00190899" w:rsidRDefault="00190899" w:rsidP="00704D76">
      <w:pPr>
        <w:spacing w:line="360" w:lineRule="auto"/>
        <w:jc w:val="both"/>
        <w:rPr>
          <w:sz w:val="24"/>
          <w:szCs w:val="24"/>
        </w:rPr>
      </w:pPr>
      <w:r>
        <w:rPr>
          <w:sz w:val="24"/>
          <w:szCs w:val="24"/>
        </w:rPr>
        <w:t>A 2017 study found that β-glucan significantly attenuated mast cell degranulator-induced paracellular hyperpermeability in both CD patients and controls.</w:t>
      </w:r>
      <w:r w:rsidR="00730297">
        <w:rPr>
          <w:sz w:val="24"/>
          <w:szCs w:val="24"/>
        </w:rPr>
        <w:fldChar w:fldCharType="begin"/>
      </w:r>
      <w:r w:rsidR="00935BD9">
        <w:rPr>
          <w:sz w:val="24"/>
          <w:szCs w:val="24"/>
        </w:rPr>
        <w:instrText xml:space="preserve"> ADDIN ZOTERO_ITEM CSL_CITATION {"citationID":"Go3fh7dj","properties":{"formattedCitation":"\\super 64\\nosupersub{}","plainCitation":"64","noteIndex":0},"citationItems":[{"id":154,"uris":["http://zotero.org/users/local/9pHoSXqz/items/VSCX5MM5"],"uri":["http://zotero.org/users/local/9pHoSXqz/items/VSCX5MM5"],"itemData":{"id":154,"type":"article-journal","abstract":"Abstract\n            \n              Background\n              Administration of β-glucan has shown immune-enhancing effects. Our aim was to investigate whether β-glucan could attenuate mast cell (MC)-induced hyperpermeability in follicle-associated epithelium (FAE) and villus epithelium (VE) of patients with Crohn’s disease (CD) and in noninflammatory bowel disease (IBD)-controls. Further, we studied mechanisms of β-glucan uptake and effects on MCs in vitro.\n            \n            \n              Methods\n              Segments of FAE and VE from 8 CD patients and 9 controls were mounted in Ussing chambers. Effects of the MC-degranulator compound 48/80 (C48/80) and yeast-derived β-1,3/1,6 glucan on hyperpermeability were investigated. Translocation of β-glucan and colocalization with immune cells were studied by immunofluorescence. Caco-2-cl1- and FAE-cultures were used to investigate β-glucan-uptake using endocytosis inhibitors and HMC-1.1 to study effects on MCs.\n            \n            \n              Results\n              β-glucan significantly attenuated MC-induced paracellular hyperpermeability in CD and controls. Transcellular hyperpermeability was only significantly attenuated in VE. Baseline paracellular permeability was higher in FAE than VE in both groups, P&amp;lt;0.05, and exhibited a more pronounced effect by C48/80 and β-glucan P&amp;lt;0.05. No difference was observed between CD and controls. In vitro studies showed increased passage, P&amp;lt;0.05, of β-glucan through FAE-culture compared to Caco-2-cl1. Passage was mildly attenuated by the inhibitor methyl-β-cyclodextrin. HMC-1.1 experiments showed a trend to decreasing MC-degranulation and levels of TNF-α but not IL-6 by β-glucan. Immunofluorescence revealed more β-glucan-uptake and higher percentage of macrophages and dendritic cells close to β-glucan in VE of CD compared to controls.\n            \n            \n              Conclusions\n              We demonstrated beneficial effects of β-glucan on intestinal barrier function and increased β-glucan-passage through FAE model. Our results provide important and novel knowledge on possible applications of β-glucan in health disorders and diseases characterized by intestinal barrier dysfunction.","container-title":"Inflammatory Bowel Diseases","DOI":"10.1093/ibd/izx002","ISSN":"1078-0998, 1536-4844","issue":"1","language":"en","page":"166-178","source":"DOI.org (Crossref)","title":"A β-Glucan-Based Dietary Fiber Reduces Mast Cell-Induced Hyperpermeability in Ileum From Patients With Crohn’s Disease and Control Subjects","volume":"24","author":[{"family":"Ganda Mall","given":"John-Peter"},{"family":"Casado-Bedmar","given":"Maite"},{"family":"Winberg","given":"Martin E"},{"family":"Brummer","given":"Robert J"},{"family":"Schoultz","given":"Ida"},{"family":"Keita","given":"Åsa V"}],"issued":{"date-parts":[["2018",1,1]]}}}],"schema":"https://github.com/citation-style-language/schema/raw/master/csl-citation.json"} </w:instrText>
      </w:r>
      <w:r w:rsidR="00730297">
        <w:rPr>
          <w:sz w:val="24"/>
          <w:szCs w:val="24"/>
        </w:rPr>
        <w:fldChar w:fldCharType="separate"/>
      </w:r>
      <w:r w:rsidR="00935BD9" w:rsidRPr="00935BD9">
        <w:rPr>
          <w:rFonts w:ascii="Calibri" w:hAnsi="Calibri" w:cs="Calibri"/>
          <w:sz w:val="24"/>
          <w:szCs w:val="24"/>
          <w:vertAlign w:val="superscript"/>
        </w:rPr>
        <w:t>64</w:t>
      </w:r>
      <w:r w:rsidR="00730297">
        <w:rPr>
          <w:sz w:val="24"/>
          <w:szCs w:val="24"/>
        </w:rPr>
        <w:fldChar w:fldCharType="end"/>
      </w:r>
      <w:r w:rsidR="00730297">
        <w:rPr>
          <w:sz w:val="24"/>
          <w:szCs w:val="24"/>
        </w:rPr>
        <w:t xml:space="preserve"> </w:t>
      </w:r>
      <w:proofErr w:type="spellStart"/>
      <w:r w:rsidR="00D84703" w:rsidRPr="00D84703">
        <w:rPr>
          <w:sz w:val="24"/>
          <w:szCs w:val="24"/>
        </w:rPr>
        <w:t>Żyła</w:t>
      </w:r>
      <w:proofErr w:type="spellEnd"/>
      <w:r w:rsidR="00D84703">
        <w:rPr>
          <w:sz w:val="24"/>
          <w:szCs w:val="24"/>
        </w:rPr>
        <w:t xml:space="preserve"> et al. found that dietary oat β-glucan significantly decreased inflammatory markers, decreased lymphocyte infiltration and increased feed intake in a Crohn disease rat model</w:t>
      </w:r>
      <w:r w:rsidR="001B3557">
        <w:rPr>
          <w:sz w:val="24"/>
          <w:szCs w:val="24"/>
        </w:rPr>
        <w:fldChar w:fldCharType="begin"/>
      </w:r>
      <w:r w:rsidR="00935BD9">
        <w:rPr>
          <w:sz w:val="24"/>
          <w:szCs w:val="24"/>
        </w:rPr>
        <w:instrText xml:space="preserve"> ADDIN ZOTERO_ITEM CSL_CITATION {"citationID":"RKWAViiE","properties":{"formattedCitation":"\\super 65\\nosupersub{}","plainCitation":"65","noteIndex":0},"citationItems":[{"id":156,"uris":["http://zotero.org/users/local/9pHoSXqz/items/BU3UL594"],"uri":["http://zotero.org/users/local/9pHoSXqz/items/BU3UL594"],"itemData":{"id":156,"type":"article-journal","abstract":"Background: Inflammatory bowel diseases are an important health problem. Therefore, the aim of the present study was to compare the impact of isolated oat beta-glucan fractions of low and high molecular weight, taken as dietary supplementation, on inflammatory markers in the colitis model. Methods: Two groups of Sprague–Dawley rats—control and with experimentally induced colitis—were subsequently divided into three subgroups and fed over 21 days feed supplemented with 1% of low (βGl) or high (βGh) molecular weight oat beta-glucan fraction or feed without supplementation. The level of colon inflammatory markers, cytokines, and their receptors’ genes expressions and immune cells numbers were measured by ELISA, RT-PCR, and by flow cytometry methods, respectively. Results: The results showed moderate inflammation affecting the colon mucosa and submucosa, with significant changes in the number of lymphocytes in the colon tissue, elevated cytokines and eicosanoid levels, as well as disruption of the main cytokine and chemokine cell signaling pathways in colitis rats. Beta-glucans supplementation caused a reverse in the percentage of lymphocytes with stronger effects of βGh and reduction of the levels of the inflammatory markers, and improvement of cytokine and chemokine signaling pathways with stronger effects of βGl supplementation. Conclusions: The results indicate the therapeutic effect of dietary oat beta-glucan supplementation in the colitis in evident relation to the molecular weight of polymer.","container-title":"Molecules","DOI":"10.3390/molecules24193591","ISSN":"1420-3049","issue":"19","journalAbbreviation":"Molecules","language":"en","page":"3591","source":"DOI.org (Crossref)","title":"Beneficial Effects of Oat Beta-Glucan Dietary Supplementation in Colitis Depend on its Molecular Weight","volume":"24","author":[{"literal":"Żyła"},{"literal":"Dziendzikowska"},{"literal":"Gajewska"},{"literal":"Wilczak"},{"literal":"Harasym"},{"literal":"Gromadzka-Ostrowska"}],"issued":{"date-parts":[["2019",10,5]]}}}],"schema":"https://github.com/citation-style-language/schema/raw/master/csl-citation.json"} </w:instrText>
      </w:r>
      <w:r w:rsidR="001B3557">
        <w:rPr>
          <w:sz w:val="24"/>
          <w:szCs w:val="24"/>
        </w:rPr>
        <w:fldChar w:fldCharType="separate"/>
      </w:r>
      <w:r w:rsidR="00935BD9" w:rsidRPr="00935BD9">
        <w:rPr>
          <w:rFonts w:ascii="Calibri" w:hAnsi="Calibri" w:cs="Calibri"/>
          <w:sz w:val="24"/>
          <w:szCs w:val="24"/>
          <w:vertAlign w:val="superscript"/>
        </w:rPr>
        <w:t>65</w:t>
      </w:r>
      <w:r w:rsidR="001B3557">
        <w:rPr>
          <w:sz w:val="24"/>
          <w:szCs w:val="24"/>
        </w:rPr>
        <w:fldChar w:fldCharType="end"/>
      </w:r>
      <w:r w:rsidR="001B3557">
        <w:rPr>
          <w:sz w:val="24"/>
          <w:szCs w:val="24"/>
        </w:rPr>
        <w:t xml:space="preserve">, but </w:t>
      </w:r>
      <w:proofErr w:type="spellStart"/>
      <w:r w:rsidR="001B3557">
        <w:rPr>
          <w:sz w:val="24"/>
          <w:szCs w:val="24"/>
        </w:rPr>
        <w:t>Heinsbroek</w:t>
      </w:r>
      <w:proofErr w:type="spellEnd"/>
      <w:r w:rsidR="001B3557">
        <w:rPr>
          <w:sz w:val="24"/>
          <w:szCs w:val="24"/>
        </w:rPr>
        <w:t xml:space="preserve"> et al. found that orally delivered β-glucans aggravate intestinal inflammation in a mouse model.</w:t>
      </w:r>
      <w:r w:rsidR="001B3557">
        <w:rPr>
          <w:sz w:val="24"/>
          <w:szCs w:val="24"/>
        </w:rPr>
        <w:fldChar w:fldCharType="begin"/>
      </w:r>
      <w:r w:rsidR="00935BD9">
        <w:rPr>
          <w:sz w:val="24"/>
          <w:szCs w:val="24"/>
        </w:rPr>
        <w:instrText xml:space="preserve"> ADDIN ZOTERO_ITEM CSL_CITATION {"citationID":"7KWMOBQ0","properties":{"formattedCitation":"\\super 66\\nosupersub{}","plainCitation":"66","noteIndex":0},"citationItems":[{"id":158,"uris":["http://zotero.org/users/local/9pHoSXqz/items/RZ35RD84"],"uri":["http://zotero.org/users/local/9pHoSXqz/items/RZ35RD84"],"itemData":{"id":158,"type":"article-journal","container-title":"Nutrition Research","DOI":"10.1016/j.nutres.2015.09.017","ISSN":"02715317","issue":"12","journalAbbreviation":"Nutrition Research","language":"en","page":"1106-1112","source":"DOI.org (Crossref)","title":"Orally delivered β-glucans aggravate dextran sulfate sodium (DSS)-induced intestinal inflammation","volume":"35","author":[{"family":"Heinsbroek","given":"Sigrid E.M."},{"family":"Williams","given":"David L."},{"family":"Welting","given":"Olaf"},{"family":"Meijer","given":"Sybren L."},{"family":"Gordon","given":"Siamon"},{"family":"Jonge","given":"Wouter J.","non-dropping-particle":"de"}],"issued":{"date-parts":[["2015",12]]}}}],"schema":"https://github.com/citation-style-language/schema/raw/master/csl-citation.json"} </w:instrText>
      </w:r>
      <w:r w:rsidR="001B3557">
        <w:rPr>
          <w:sz w:val="24"/>
          <w:szCs w:val="24"/>
        </w:rPr>
        <w:fldChar w:fldCharType="separate"/>
      </w:r>
      <w:r w:rsidR="00935BD9" w:rsidRPr="00935BD9">
        <w:rPr>
          <w:rFonts w:ascii="Calibri" w:hAnsi="Calibri" w:cs="Calibri"/>
          <w:sz w:val="24"/>
          <w:szCs w:val="24"/>
          <w:vertAlign w:val="superscript"/>
        </w:rPr>
        <w:t>66</w:t>
      </w:r>
      <w:r w:rsidR="001B3557">
        <w:rPr>
          <w:sz w:val="24"/>
          <w:szCs w:val="24"/>
        </w:rPr>
        <w:fldChar w:fldCharType="end"/>
      </w:r>
    </w:p>
    <w:p w14:paraId="6C39B1B4" w14:textId="15E9631D" w:rsidR="004F55A2" w:rsidRDefault="004F55A2" w:rsidP="00704D76">
      <w:pPr>
        <w:spacing w:line="360" w:lineRule="auto"/>
        <w:jc w:val="both"/>
        <w:rPr>
          <w:sz w:val="24"/>
          <w:szCs w:val="24"/>
        </w:rPr>
      </w:pPr>
      <w:r>
        <w:rPr>
          <w:sz w:val="24"/>
          <w:szCs w:val="24"/>
        </w:rPr>
        <w:lastRenderedPageBreak/>
        <w:t>In 2020, t</w:t>
      </w:r>
      <w:r w:rsidRPr="00DB3F1C">
        <w:rPr>
          <w:sz w:val="24"/>
          <w:szCs w:val="24"/>
        </w:rPr>
        <w:t>he Nutrition Cluster of the International Organization for the Study of Inflammatory Bowel Diseases (IOIBD) collected the best available evidence to date and created a dietary guidance consensus document.</w:t>
      </w:r>
      <w:r w:rsidRPr="00DB3F1C">
        <w:rPr>
          <w:sz w:val="24"/>
          <w:szCs w:val="24"/>
        </w:rPr>
        <w:fldChar w:fldCharType="begin"/>
      </w:r>
      <w:r w:rsidR="00935BD9">
        <w:rPr>
          <w:sz w:val="24"/>
          <w:szCs w:val="24"/>
        </w:rPr>
        <w:instrText xml:space="preserve"> ADDIN ZOTERO_ITEM CSL_CITATION {"citationID":"kDbxAkUZ","properties":{"formattedCitation":"\\super 67\\nosupersub{}","plainCitation":"67","noteIndex":0},"citationItems":[{"id":102,"uris":["http://zotero.org/users/local/9pHoSXqz/items/WZ6JU937"],"uri":["http://zotero.org/users/local/9pHoSXqz/items/WZ6JU937"],"itemData":{"id":102,"type":"article-journal","container-title":"Clinical Gastroenterology and Hepatology","DOI":"10.1016/j.cgh.2020.01.046","ISSN":"15423565","issue":"6","journalAbbreviation":"Clinical Gastroenterology and Hepatology","language":"en","page":"1381-1392","source":"DOI.org (Crossref)","title":"Dietary Guidance From the International Organization for the Study of Inflammatory Bowel Diseases","volume":"18","author":[{"family":"Levine","given":"Arie"},{"family":"Rhodes","given":"Jonathan M."},{"family":"Lindsay","given":"James O."},{"family":"Abreu","given":"Maria T."},{"family":"Kamm","given":"Michael A."},{"family":"Gibson","given":"Peter R."},{"family":"Gasche","given":"Christoph"},{"family":"Silverberg","given":"Mark S."},{"family":"Mahadevan","given":"Uma"},{"family":"Boneh","given":"Rotem Sigall"},{"family":"Wine","given":"Eyton"},{"family":"Damas","given":"Oriana M."},{"family":"Syme","given":"Graeme"},{"family":"Trakman","given":"Gina L."},{"family":"Yao","given":"Chu Kion"},{"family":"Stockhamer","given":"Stefanie"},{"family":"Hammami","given":"Muhammad B."},{"family":"Garces","given":"Luis C."},{"family":"Rogler","given":"Gerhard"},{"family":"Koutroubakis","given":"Ioannis E."},{"family":"Ananthakrishnan","given":"Ashwin N."},{"family":"McKeever","given":"Liam"},{"family":"Lewis","given":"James D."}],"issued":{"date-parts":[["2020",5]]}}}],"schema":"https://github.com/citation-style-language/schema/raw/master/csl-citation.json"}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67</w:t>
      </w:r>
      <w:r w:rsidRPr="00DB3F1C">
        <w:rPr>
          <w:sz w:val="24"/>
          <w:szCs w:val="24"/>
        </w:rPr>
        <w:fldChar w:fldCharType="end"/>
      </w:r>
      <w:r w:rsidRPr="00DB3F1C">
        <w:rPr>
          <w:sz w:val="24"/>
          <w:szCs w:val="24"/>
        </w:rPr>
        <w:t xml:space="preserve"> They concluded that available evidence in humans was too lacking to reach strong evidence levels for recommendations for or against certain dietary components, which highlights a need for further human studies in this field. Regardless, they found low levels of evidence to recommend increased exposure to fruits and vegetables in CD patients, and to recommend restriction of intake of saturated and trans fats. A notable exception to the increased fruit and vegetable intake were for those CD patients with fibrostricturing disease, who they recommended should restrict insoluble fibre intake, although with a very low </w:t>
      </w:r>
      <w:r w:rsidR="00254CB2">
        <w:rPr>
          <w:sz w:val="24"/>
          <w:szCs w:val="24"/>
        </w:rPr>
        <w:t xml:space="preserve">level of </w:t>
      </w:r>
      <w:r w:rsidRPr="00DB3F1C">
        <w:rPr>
          <w:sz w:val="24"/>
          <w:szCs w:val="24"/>
        </w:rPr>
        <w:t>evidence. Because of the lack of human studies, some conclusion had to be drawn from animal studies.</w:t>
      </w:r>
    </w:p>
    <w:p w14:paraId="0FC4D9E7" w14:textId="025688FB" w:rsidR="004F55A2" w:rsidRDefault="004F55A2" w:rsidP="00704D76">
      <w:pPr>
        <w:spacing w:line="360" w:lineRule="auto"/>
        <w:jc w:val="both"/>
        <w:rPr>
          <w:sz w:val="24"/>
          <w:szCs w:val="24"/>
        </w:rPr>
      </w:pPr>
      <w:r w:rsidRPr="00DB3F1C">
        <w:rPr>
          <w:sz w:val="24"/>
          <w:szCs w:val="24"/>
        </w:rPr>
        <w:t xml:space="preserve">A  randomised, double-blind, placebo-controlled trial of fructo-oligosaccharides (FOS) as food supplements in patients with active CD </w:t>
      </w:r>
      <w:r w:rsidR="003B1CAB">
        <w:rPr>
          <w:sz w:val="24"/>
          <w:szCs w:val="24"/>
        </w:rPr>
        <w:t xml:space="preserve">from </w:t>
      </w:r>
      <w:r w:rsidR="003B1CAB" w:rsidRPr="00DB3F1C">
        <w:rPr>
          <w:sz w:val="24"/>
          <w:szCs w:val="24"/>
        </w:rPr>
        <w:t>2011</w:t>
      </w:r>
      <w:r w:rsidR="003B1CAB">
        <w:rPr>
          <w:sz w:val="24"/>
          <w:szCs w:val="24"/>
        </w:rPr>
        <w:t xml:space="preserve"> </w:t>
      </w:r>
      <w:r w:rsidRPr="00DB3F1C">
        <w:rPr>
          <w:sz w:val="24"/>
          <w:szCs w:val="24"/>
        </w:rPr>
        <w:t>found no significant differences in CDAI between the FOS groups and the placebo group</w:t>
      </w:r>
      <w:r w:rsidR="00C63BD6" w:rsidRPr="00DB3F1C">
        <w:rPr>
          <w:sz w:val="24"/>
          <w:szCs w:val="24"/>
        </w:rPr>
        <w:fldChar w:fldCharType="begin"/>
      </w:r>
      <w:r w:rsidR="00C63BD6">
        <w:rPr>
          <w:sz w:val="24"/>
          <w:szCs w:val="24"/>
        </w:rPr>
        <w:instrText xml:space="preserve"> ADDIN ZOTERO_ITEM CSL_CITATION {"citationID":"VZ6dtqEP","properties":{"formattedCitation":"\\super 68\\nosupersub{}","plainCitation":"68","noteIndex":0},"citationItems":[{"id":117,"uris":["http://zotero.org/users/local/9pHoSXqz/items/KBA5ANVI"],"uri":["http://zotero.org/users/local/9pHoSXqz/items/KBA5ANVI"],"itemData":{"id":117,"type":"article-journal","container-title":"Gut","DOI":"10.1136/gut.2010.232025","ISSN":"0017-5749","issue":"7","journalAbbreviation":"Gut","language":"en","page":"923-929","source":"DOI.org (Crossref)","title":"Randomised, double-blind, placebo-controlled trial of fructo-oligosaccharides in active Crohn's disease","volume":"60","author":[{"family":"Benjamin","given":"J. L."},{"family":"Hedin","given":"C. R. H."},{"family":"Koutsoumpas","given":"A."},{"family":"Ng","given":"S. C."},{"family":"McCarthy","given":"N. E."},{"family":"Hart","given":"A. L."},{"family":"Kamm","given":"M. A."},{"family":"Sanderson","given":"J. D."},{"family":"Knight","given":"S. C."},{"family":"Forbes","given":"A."},{"family":"Stagg","given":"A. J."},{"family":"Whelan","given":"K."},{"family":"Lindsay","given":"J. O."}],"issued":{"date-parts":[["2011",7,1]]}}}],"schema":"https://github.com/citation-style-language/schema/raw/master/csl-citation.json"} </w:instrText>
      </w:r>
      <w:r w:rsidR="00C63BD6" w:rsidRPr="00DB3F1C">
        <w:rPr>
          <w:sz w:val="24"/>
          <w:szCs w:val="24"/>
        </w:rPr>
        <w:fldChar w:fldCharType="separate"/>
      </w:r>
      <w:r w:rsidR="00C63BD6" w:rsidRPr="00935BD9">
        <w:rPr>
          <w:rFonts w:ascii="Calibri" w:hAnsi="Calibri" w:cs="Calibri"/>
          <w:sz w:val="24"/>
          <w:szCs w:val="24"/>
          <w:vertAlign w:val="superscript"/>
        </w:rPr>
        <w:t>68</w:t>
      </w:r>
      <w:r w:rsidR="00C63BD6" w:rsidRPr="00DB3F1C">
        <w:rPr>
          <w:sz w:val="24"/>
          <w:szCs w:val="24"/>
        </w:rPr>
        <w:fldChar w:fldCharType="end"/>
      </w:r>
      <w:r w:rsidRPr="00DB3F1C">
        <w:rPr>
          <w:sz w:val="24"/>
          <w:szCs w:val="24"/>
        </w:rPr>
        <w:t>. The group receiving FOS supplement had reduced proportions of IL-6-positive lamina propria dendritic cells and increased dendritic cell staining of IL-10, but there were no differences in faecal concentration of bifidobacteria or F. Prausnitzii between the groups before or after the intervention. These interventions lasted only for 4 weeks. The FOS supplement group experience</w:t>
      </w:r>
      <w:r w:rsidR="00625918">
        <w:rPr>
          <w:sz w:val="24"/>
          <w:szCs w:val="24"/>
        </w:rPr>
        <w:t>d</w:t>
      </w:r>
      <w:r w:rsidRPr="00DB3F1C">
        <w:rPr>
          <w:sz w:val="24"/>
          <w:szCs w:val="24"/>
        </w:rPr>
        <w:t xml:space="preserve"> significantly increased incidence and severity of gastrointestinal symptoms.</w:t>
      </w:r>
    </w:p>
    <w:p w14:paraId="0FCDBABA" w14:textId="510F9E0A" w:rsidR="0023634E" w:rsidRPr="00DB3F1C" w:rsidRDefault="0023634E" w:rsidP="00704D76">
      <w:pPr>
        <w:spacing w:line="360" w:lineRule="auto"/>
        <w:jc w:val="both"/>
        <w:rPr>
          <w:sz w:val="24"/>
          <w:szCs w:val="24"/>
        </w:rPr>
      </w:pPr>
      <w:r w:rsidRPr="00DB3F1C">
        <w:rPr>
          <w:sz w:val="24"/>
          <w:szCs w:val="24"/>
        </w:rPr>
        <w:t>A 1979 trial by Heaton et al. involved 32 CD patients who were prescribed an unrefined-carbohydrate diet and followed for a mean of four years and four months</w:t>
      </w:r>
      <w:r w:rsidR="00C63BD6" w:rsidRPr="00DB3F1C">
        <w:rPr>
          <w:sz w:val="24"/>
          <w:szCs w:val="24"/>
        </w:rPr>
        <w:fldChar w:fldCharType="begin"/>
      </w:r>
      <w:r w:rsidR="00C63BD6">
        <w:rPr>
          <w:sz w:val="24"/>
          <w:szCs w:val="24"/>
        </w:rPr>
        <w:instrText xml:space="preserve"> ADDIN ZOTERO_ITEM CSL_CITATION {"citationID":"Cdi3an9c","properties":{"formattedCitation":"\\super 69\\nosupersub{}","plainCitation":"69","noteIndex":0},"citationItems":[{"id":115,"uris":["http://zotero.org/users/local/9pHoSXqz/items/FYMNNAUL"],"uri":["http://zotero.org/users/local/9pHoSXqz/items/FYMNNAUL"],"itemData":{"id":115,"type":"article-journal","container-title":"BMJ","DOI":"10.1136/bmj.2.6193.764","ISSN":"0959-8138, 1468-5833","issue":"6193","journalAbbreviation":"BMJ","language":"en","page":"764-766","source":"DOI.org (Crossref)","title":"Treatment of Crohn's disease with an unrefined-carbohydrate, fibre-rich diet.","volume":"2","author":[{"family":"Heaton","given":"K W"},{"family":"Thornton","given":"J R"},{"family":"Emmett","given":"P M"}],"issued":{"date-parts":[["1979",9,29]]}}}],"schema":"https://github.com/citation-style-language/schema/raw/master/csl-citation.json"} </w:instrText>
      </w:r>
      <w:r w:rsidR="00C63BD6" w:rsidRPr="00DB3F1C">
        <w:rPr>
          <w:sz w:val="24"/>
          <w:szCs w:val="24"/>
        </w:rPr>
        <w:fldChar w:fldCharType="separate"/>
      </w:r>
      <w:r w:rsidR="00C63BD6" w:rsidRPr="00935BD9">
        <w:rPr>
          <w:rFonts w:ascii="Calibri" w:hAnsi="Calibri" w:cs="Calibri"/>
          <w:sz w:val="24"/>
          <w:szCs w:val="24"/>
          <w:vertAlign w:val="superscript"/>
        </w:rPr>
        <w:t>69</w:t>
      </w:r>
      <w:r w:rsidR="00C63BD6" w:rsidRPr="00DB3F1C">
        <w:rPr>
          <w:sz w:val="24"/>
          <w:szCs w:val="24"/>
        </w:rPr>
        <w:fldChar w:fldCharType="end"/>
      </w:r>
      <w:r w:rsidRPr="00DB3F1C">
        <w:rPr>
          <w:sz w:val="24"/>
          <w:szCs w:val="24"/>
        </w:rPr>
        <w:t>. The clinical courses of these 32 patients in the intervention group were then retrospectively compared with 32 matched patients who had received no dietary instruction. The study found that the interventional group had a significantly lower number of hospital admissions, as well as shorter hospital stays.</w:t>
      </w:r>
    </w:p>
    <w:p w14:paraId="62812A79" w14:textId="77777777" w:rsidR="0023634E" w:rsidRPr="00DB3F1C" w:rsidRDefault="0023634E" w:rsidP="00704D76">
      <w:pPr>
        <w:spacing w:line="360" w:lineRule="auto"/>
        <w:jc w:val="both"/>
        <w:rPr>
          <w:sz w:val="24"/>
          <w:szCs w:val="24"/>
        </w:rPr>
      </w:pPr>
      <w:r w:rsidRPr="00DB3F1C">
        <w:rPr>
          <w:sz w:val="24"/>
          <w:szCs w:val="24"/>
        </w:rPr>
        <w:lastRenderedPageBreak/>
        <w:t>The authors of the trial constructed a booklet which advised the trial participants on the dietary changes they were to follow. The booklet included advice on reducing refined sugar, replacing white flour and white rice with wholemeal flour and unpolished rice, encouraging consumption of fruit and vegetables, etc.</w:t>
      </w:r>
    </w:p>
    <w:p w14:paraId="104747AC" w14:textId="3C5452F4" w:rsidR="0023634E" w:rsidRPr="00DB3F1C" w:rsidRDefault="0023634E" w:rsidP="00704D76">
      <w:pPr>
        <w:spacing w:line="360" w:lineRule="auto"/>
        <w:jc w:val="both"/>
        <w:rPr>
          <w:sz w:val="24"/>
          <w:szCs w:val="24"/>
        </w:rPr>
      </w:pPr>
      <w:r w:rsidRPr="00DB3F1C">
        <w:rPr>
          <w:sz w:val="24"/>
          <w:szCs w:val="24"/>
        </w:rPr>
        <w:t xml:space="preserve">On the other hand, </w:t>
      </w:r>
      <w:r w:rsidR="0009585A">
        <w:rPr>
          <w:sz w:val="24"/>
          <w:szCs w:val="24"/>
        </w:rPr>
        <w:t xml:space="preserve">a </w:t>
      </w:r>
      <w:r w:rsidRPr="00DB3F1C">
        <w:rPr>
          <w:sz w:val="24"/>
          <w:szCs w:val="24"/>
        </w:rPr>
        <w:t>1987 randomised controlled trial by Ritchie et al. involved 352 patients with inactive or mildly active CD who were randomly allocated into one of two groups, one group taking a diet unrestricted in sugar and low in fibre, and the other group taking a diet with little or no sugar and high in fibre</w:t>
      </w:r>
      <w:r w:rsidR="00C63BD6" w:rsidRPr="00DB3F1C">
        <w:rPr>
          <w:sz w:val="24"/>
          <w:szCs w:val="24"/>
        </w:rPr>
        <w:fldChar w:fldCharType="begin"/>
      </w:r>
      <w:r w:rsidR="00C63BD6">
        <w:rPr>
          <w:sz w:val="24"/>
          <w:szCs w:val="24"/>
        </w:rPr>
        <w:instrText xml:space="preserve"> ADDIN ZOTERO_ITEM CSL_CITATION {"citationID":"tR00wy09","properties":{"formattedCitation":"\\super 70\\nosupersub{}","plainCitation":"70","noteIndex":0},"citationItems":[{"id":113,"uris":["http://zotero.org/users/local/9pHoSXqz/items/8L7S7DH8"],"uri":["http://zotero.org/users/local/9pHoSXqz/items/8L7S7DH8"],"itemData":{"id":113,"type":"article-journal","container-title":"BMJ","DOI":"10.1136/bmj.295.6597.517","ISSN":"0959-8138, 1468-5833","issue":"6597","journalAbbreviation":"BMJ","language":"en","page":"517-520","source":"DOI.org (Crossref)","title":"Controlled multicentre therapeutic trial of an unrefined carbohydrate, fibre rich diet in Crohn's disease.","volume":"295","author":[{"family":"Ritchie","given":"J K"},{"family":"Wadsworth","given":"J"},{"family":"Lennard-Jones","given":"J E"},{"family":"Rogers","given":"E"}],"issued":{"date-parts":[["1987",8,29]]}}}],"schema":"https://github.com/citation-style-language/schema/raw/master/csl-citation.json"} </w:instrText>
      </w:r>
      <w:r w:rsidR="00C63BD6" w:rsidRPr="00DB3F1C">
        <w:rPr>
          <w:sz w:val="24"/>
          <w:szCs w:val="24"/>
        </w:rPr>
        <w:fldChar w:fldCharType="separate"/>
      </w:r>
      <w:r w:rsidR="00C63BD6" w:rsidRPr="00935BD9">
        <w:rPr>
          <w:rFonts w:ascii="Calibri" w:hAnsi="Calibri" w:cs="Calibri"/>
          <w:sz w:val="24"/>
          <w:szCs w:val="24"/>
          <w:vertAlign w:val="superscript"/>
        </w:rPr>
        <w:t>70</w:t>
      </w:r>
      <w:r w:rsidR="00C63BD6" w:rsidRPr="00DB3F1C">
        <w:rPr>
          <w:sz w:val="24"/>
          <w:szCs w:val="24"/>
        </w:rPr>
        <w:fldChar w:fldCharType="end"/>
      </w:r>
      <w:r w:rsidRPr="00DB3F1C">
        <w:rPr>
          <w:sz w:val="24"/>
          <w:szCs w:val="24"/>
        </w:rPr>
        <w:t>. The dietary changes were the same as those advocated in the 1979 study. The trial lasted for two years. The RCT found no significant differences in any of the end points</w:t>
      </w:r>
      <w:r w:rsidR="003B1CAB">
        <w:rPr>
          <w:sz w:val="24"/>
          <w:szCs w:val="24"/>
        </w:rPr>
        <w:t xml:space="preserve">, including need </w:t>
      </w:r>
      <w:r w:rsidRPr="00DB3F1C">
        <w:rPr>
          <w:sz w:val="24"/>
          <w:szCs w:val="24"/>
        </w:rPr>
        <w:t>of surgery, hospital admission, withdrawing from the trial due to more symptoms, or requirement of outpatient treatment.</w:t>
      </w:r>
    </w:p>
    <w:p w14:paraId="03F2AC6E" w14:textId="23795497" w:rsidR="0023634E" w:rsidRPr="00DB3F1C" w:rsidRDefault="0023634E" w:rsidP="00704D76">
      <w:pPr>
        <w:spacing w:line="360" w:lineRule="auto"/>
        <w:jc w:val="both"/>
        <w:rPr>
          <w:sz w:val="24"/>
          <w:szCs w:val="24"/>
        </w:rPr>
      </w:pPr>
      <w:r w:rsidRPr="00DB3F1C">
        <w:rPr>
          <w:sz w:val="24"/>
          <w:szCs w:val="24"/>
        </w:rPr>
        <w:t xml:space="preserve">These seemingly contradictory findings </w:t>
      </w:r>
      <w:r>
        <w:rPr>
          <w:sz w:val="24"/>
          <w:szCs w:val="24"/>
        </w:rPr>
        <w:t>may</w:t>
      </w:r>
      <w:r w:rsidRPr="00DB3F1C">
        <w:rPr>
          <w:sz w:val="24"/>
          <w:szCs w:val="24"/>
        </w:rPr>
        <w:t xml:space="preserve"> be at least partially explained by certain factors</w:t>
      </w:r>
      <w:r w:rsidR="008A2414">
        <w:rPr>
          <w:sz w:val="24"/>
          <w:szCs w:val="24"/>
        </w:rPr>
        <w:t>,</w:t>
      </w:r>
      <w:r w:rsidRPr="00DB3F1C">
        <w:rPr>
          <w:sz w:val="24"/>
          <w:szCs w:val="24"/>
        </w:rPr>
        <w:t xml:space="preserve"> in this author’s opinion. First, the 1979 trial, which found the dietary changes to be beneficial, lasted longer than the trials which didn’t</w:t>
      </w:r>
      <w:r w:rsidR="003B1CAB">
        <w:rPr>
          <w:sz w:val="24"/>
          <w:szCs w:val="24"/>
        </w:rPr>
        <w:t xml:space="preserve"> show any benefit</w:t>
      </w:r>
      <w:r w:rsidRPr="00DB3F1C">
        <w:rPr>
          <w:sz w:val="24"/>
          <w:szCs w:val="24"/>
        </w:rPr>
        <w:t>. It is possible that beneficial effects of dietary changes in CD are not apparent until after more than two years of these changes, and the 1979 trial did not disclose a timeline</w:t>
      </w:r>
      <w:r w:rsidR="008A2414">
        <w:rPr>
          <w:sz w:val="24"/>
          <w:szCs w:val="24"/>
        </w:rPr>
        <w:t xml:space="preserve"> for the intervention,</w:t>
      </w:r>
      <w:r w:rsidRPr="00DB3F1C">
        <w:rPr>
          <w:sz w:val="24"/>
          <w:szCs w:val="24"/>
        </w:rPr>
        <w:t xml:space="preserve"> which could underline this point. The 2011 RCT lasted only 4 weeks. Second, the 1987 trial recruited only CD patients with inactive or mildly active disease, whereas the 1979 trial did not discriminate on disease activity. It is possible that beneficial effects of dietary changes appear only, or perhaps earlier, in more severe CD than in less severe disease. Third, although the dietary changes advocated were the same in the 1979 and 1987 trials, they might’ve been interpreted differently by the clinicians and dietitians explaining them to the trial participants. Fourth, it is possible and perhaps even likely that modification of only one or two macronutrients (namely, carbohydrate composition and fibre intake) is not in and of itself enough to induce significant changes in Crohn disease pathophysiology, and that the other </w:t>
      </w:r>
      <w:r w:rsidRPr="00DB3F1C">
        <w:rPr>
          <w:sz w:val="24"/>
          <w:szCs w:val="24"/>
        </w:rPr>
        <w:lastRenderedPageBreak/>
        <w:t>components of the diet also play a role. If the theoretical anti-inflammatory effects of fibre are counteracted by pro-inflammatory effects of other parts of the diet, the beneficial effects may be reduced or completely counteracted. It is possible that that the restriction of refined carbohydrates caused other “secondary” changes in the trial participants’ diets, such as increased intake of red meats, alcohol, or artificial sweeteners, foods which are theorised to have a negative impact on gut health. Fifth, it is possible that dietary factors are more important in maintaining disease remission and in preventing CD in those at high risk and less important in reducing severity of acute illness. The authors of the 2011 study reached the same conclusion.</w:t>
      </w:r>
      <w:r w:rsidR="0051493D" w:rsidRPr="00DB3F1C">
        <w:rPr>
          <w:sz w:val="24"/>
          <w:szCs w:val="24"/>
        </w:rPr>
        <w:t xml:space="preserve"> </w:t>
      </w:r>
    </w:p>
    <w:p w14:paraId="7DF82A0C" w14:textId="59070B5C" w:rsidR="00827D68" w:rsidRDefault="006C351C" w:rsidP="00704D76">
      <w:pPr>
        <w:pStyle w:val="Overskrift4"/>
        <w:jc w:val="both"/>
      </w:pPr>
      <w:bookmarkStart w:id="16" w:name="_Toc93326812"/>
      <w:r>
        <w:t>6</w:t>
      </w:r>
      <w:r w:rsidR="00827D68">
        <w:t>.2</w:t>
      </w:r>
      <w:r w:rsidR="00E23D64">
        <w:t>.</w:t>
      </w:r>
      <w:r w:rsidR="00827D68">
        <w:t xml:space="preserve"> Exclusive enteral nutrition</w:t>
      </w:r>
      <w:r w:rsidR="005C290B">
        <w:t xml:space="preserve"> and </w:t>
      </w:r>
      <w:r w:rsidR="00827D68">
        <w:t>partial enteral nutrition</w:t>
      </w:r>
      <w:bookmarkEnd w:id="16"/>
    </w:p>
    <w:p w14:paraId="6805E14C" w14:textId="2A26F18D" w:rsidR="00194439" w:rsidRDefault="00DB3F1C" w:rsidP="00704D76">
      <w:pPr>
        <w:spacing w:line="360" w:lineRule="auto"/>
        <w:jc w:val="both"/>
        <w:rPr>
          <w:sz w:val="24"/>
          <w:szCs w:val="24"/>
        </w:rPr>
      </w:pPr>
      <w:r w:rsidRPr="00DB3F1C">
        <w:rPr>
          <w:sz w:val="24"/>
          <w:szCs w:val="24"/>
        </w:rPr>
        <w:t xml:space="preserve">Exclusive enteral nutrition (EEN) is the most extensively researched dietary intervention </w:t>
      </w:r>
      <w:r w:rsidR="00F068EF">
        <w:rPr>
          <w:sz w:val="24"/>
          <w:szCs w:val="24"/>
        </w:rPr>
        <w:t>to induce</w:t>
      </w:r>
      <w:r w:rsidRPr="00DB3F1C">
        <w:rPr>
          <w:sz w:val="24"/>
          <w:szCs w:val="24"/>
        </w:rPr>
        <w:t xml:space="preserve"> remission in mild to moderate CD both in children and adults</w:t>
      </w:r>
      <w:r w:rsidR="00A9712B">
        <w:rPr>
          <w:sz w:val="24"/>
          <w:szCs w:val="24"/>
        </w:rPr>
        <w:t>, but it is mo</w:t>
      </w:r>
      <w:r w:rsidR="00194439">
        <w:rPr>
          <w:sz w:val="24"/>
          <w:szCs w:val="24"/>
        </w:rPr>
        <w:t>re</w:t>
      </w:r>
      <w:r w:rsidR="00A9712B">
        <w:rPr>
          <w:sz w:val="24"/>
          <w:szCs w:val="24"/>
        </w:rPr>
        <w:t xml:space="preserve"> widely used in paediatric populations compared to adults</w:t>
      </w:r>
      <w:r w:rsidR="00C63BD6" w:rsidRPr="00DB3F1C">
        <w:rPr>
          <w:sz w:val="24"/>
          <w:szCs w:val="24"/>
        </w:rPr>
        <w:fldChar w:fldCharType="begin"/>
      </w:r>
      <w:r w:rsidR="00C63BD6">
        <w:rPr>
          <w:sz w:val="24"/>
          <w:szCs w:val="24"/>
        </w:rPr>
        <w:instrText xml:space="preserve"> ADDIN ZOTERO_ITEM CSL_CITATION {"citationID":"ePJQ2ssK","properties":{"formattedCitation":"\\super 71\\nosupersub{}","plainCitation":"71","noteIndex":0},"citationItems":[{"id":125,"uris":["http://zotero.org/users/local/9pHoSXqz/items/DWGZNVW5"],"uri":["http://zotero.org/users/local/9pHoSXqz/items/DWGZNVW5"],"itemData":{"id":125,"type":"article-journal","container-title":"Journal of Crohn's and Colitis","DOI":"10.1093/ecco-jcc/jjx109","ISSN":"1873-9946, 1876-4479","issue":"12","language":"en","page":"1407-1419","source":"DOI.org (Crossref)","title":"Research Gaps in Diet and Nutrition in Inflammatory Bowel Disease. A Topical Review by D-ECCO Working Group [Dietitians of ECCO]","volume":"11","author":[{"family":"Sigall-Boneh","given":"Rotem"},{"family":"Levine","given":"Arie"},{"family":"Lomer","given":"Miranda"},{"family":"Wierdsma","given":"Nicolette"},{"family":"Allan","given":"Philip"},{"family":"Fiorino","given":"Gionata"},{"family":"Gatti","given":"Simona"},{"family":"Jonkers","given":"Daisy"},{"family":"Kierkuś","given":"Jarosław"},{"family":"Katsanos","given":"Konstantinos H"},{"family":"Melgar","given":"Silvia"},{"family":"Yuksel","given":"Elif Saritas"},{"family":"Whelan","given":"Kevin"},{"family":"Wine","given":"Eytan"},{"family":"Gerasimidis","given":"Konstantinos"}],"issued":{"date-parts":[["2017",12,4]]}}}],"schema":"https://github.com/citation-style-language/schema/raw/master/csl-citation.json"} </w:instrText>
      </w:r>
      <w:r w:rsidR="00C63BD6" w:rsidRPr="00DB3F1C">
        <w:rPr>
          <w:sz w:val="24"/>
          <w:szCs w:val="24"/>
        </w:rPr>
        <w:fldChar w:fldCharType="separate"/>
      </w:r>
      <w:r w:rsidR="00C63BD6" w:rsidRPr="00935BD9">
        <w:rPr>
          <w:rFonts w:ascii="Calibri" w:hAnsi="Calibri" w:cs="Calibri"/>
          <w:sz w:val="24"/>
          <w:szCs w:val="24"/>
          <w:vertAlign w:val="superscript"/>
        </w:rPr>
        <w:t>71</w:t>
      </w:r>
      <w:r w:rsidR="00C63BD6" w:rsidRPr="00DB3F1C">
        <w:rPr>
          <w:sz w:val="24"/>
          <w:szCs w:val="24"/>
        </w:rPr>
        <w:fldChar w:fldCharType="end"/>
      </w:r>
      <w:r w:rsidR="00A9712B">
        <w:rPr>
          <w:sz w:val="24"/>
          <w:szCs w:val="24"/>
        </w:rPr>
        <w:t xml:space="preserve">. </w:t>
      </w:r>
      <w:r w:rsidR="00194439">
        <w:rPr>
          <w:sz w:val="24"/>
          <w:szCs w:val="24"/>
        </w:rPr>
        <w:t>EEN involves giving patients exclusively liquid formula as their only source of energy for a set amount of time, often at least six weeks. This liquid formula must be nutritionally complete. In a number of case series and clinical trials, EEN has been shown to induce clinical remission in approximately 70-80% of paediatric patients.</w:t>
      </w:r>
      <w:r w:rsidR="00194439">
        <w:rPr>
          <w:sz w:val="24"/>
          <w:szCs w:val="24"/>
        </w:rPr>
        <w:fldChar w:fldCharType="begin"/>
      </w:r>
      <w:r w:rsidR="00935BD9">
        <w:rPr>
          <w:sz w:val="24"/>
          <w:szCs w:val="24"/>
        </w:rPr>
        <w:instrText xml:space="preserve"> ADDIN ZOTERO_ITEM CSL_CITATION {"citationID":"0yI7ukY5","properties":{"formattedCitation":"\\super 72,73\\nosupersub{}","plainCitation":"72,73","noteIndex":0},"citationItems":[{"id":127,"uris":["http://zotero.org/users/local/9pHoSXqz/items/ACTSH753"],"uri":["http://zotero.org/users/local/9pHoSXqz/items/ACTSH753"],"itemData":{"id":127,"type":"article-journal","container-title":"Alimentary Pharmacology &amp; Therapeutics","DOI":"10.1111/j.1365-2036.2009.04067.x","ISSN":"02692813, 13652036","issue":"5","language":"en","page":"501-507","source":"DOI.org (Crossref)","title":"The use of exclusive enteral nutrition for induction of remission in children with Crohn’s disease demonstrates that disease phenotype does not influence clinical remission","volume":"30","author":[{"family":"Buchanan","given":"E."},{"family":"Gaunt","given":"W. W."},{"family":"Cardigan","given":"T."},{"family":"Garrick","given":"V."},{"family":"Mcgrogan","given":"P."},{"family":"Russell","given":"R. K."}],"issued":{"date-parts":[["2009",9]]}}},{"id":132,"uris":["http://zotero.org/users/local/9pHoSXqz/items/6EUCSWL9"],"uri":["http://zotero.org/users/local/9pHoSXqz/items/6EUCSWL9"],"itemData":{"id":132,"type":"article-journal","container-title":"Alimentary Pharmacology &amp; Therapeutics","DOI":"10.1111/j.1365-2036.2007.03431.x","ISSN":"02692813","issue":"6","language":"en","page":"795-806","source":"DOI.org (Crossref)","title":"Meta-analysis: enteral nutrition in active Crohn’s disease in children: META-ANALYSIS: ENTERAL NUTRITION IN CROHN’S DISEASE IN CHILDREN","title-short":"Meta-analysis","volume":"26","author":[{"family":"Dziechciarz","given":"P."},{"family":"Horvath","given":"A."},{"family":"Shamir","given":"R."},{"family":"Szajewska","given":"H."}],"issued":{"date-parts":[["2007",7,7]]}}}],"schema":"https://github.com/citation-style-language/schema/raw/master/csl-citation.json"} </w:instrText>
      </w:r>
      <w:r w:rsidR="00194439">
        <w:rPr>
          <w:sz w:val="24"/>
          <w:szCs w:val="24"/>
        </w:rPr>
        <w:fldChar w:fldCharType="separate"/>
      </w:r>
      <w:r w:rsidR="00935BD9" w:rsidRPr="00935BD9">
        <w:rPr>
          <w:rFonts w:ascii="Calibri" w:hAnsi="Calibri" w:cs="Calibri"/>
          <w:sz w:val="24"/>
          <w:szCs w:val="24"/>
          <w:vertAlign w:val="superscript"/>
        </w:rPr>
        <w:t>72,73</w:t>
      </w:r>
      <w:r w:rsidR="00194439">
        <w:rPr>
          <w:sz w:val="24"/>
          <w:szCs w:val="24"/>
        </w:rPr>
        <w:fldChar w:fldCharType="end"/>
      </w:r>
      <w:r w:rsidR="00194439">
        <w:rPr>
          <w:sz w:val="24"/>
          <w:szCs w:val="24"/>
        </w:rPr>
        <w:t xml:space="preserve"> </w:t>
      </w:r>
      <w:r w:rsidR="00FE043B">
        <w:rPr>
          <w:sz w:val="24"/>
          <w:szCs w:val="24"/>
        </w:rPr>
        <w:t>The 2014 consensus guidelines of ECCO/ESPGHAN on the medical management of paediatric Crohn disease has EEN as the first-line therapy to induce remission in children with active mild-to-moderate luminal CD.</w:t>
      </w:r>
      <w:r w:rsidR="00FE043B">
        <w:rPr>
          <w:sz w:val="24"/>
          <w:szCs w:val="24"/>
        </w:rPr>
        <w:fldChar w:fldCharType="begin"/>
      </w:r>
      <w:r w:rsidR="00935BD9">
        <w:rPr>
          <w:sz w:val="24"/>
          <w:szCs w:val="24"/>
        </w:rPr>
        <w:instrText xml:space="preserve"> ADDIN ZOTERO_ITEM CSL_CITATION {"citationID":"KQN7t62j","properties":{"formattedCitation":"\\super 74\\nosupersub{}","plainCitation":"74","noteIndex":0},"citationItems":[{"id":133,"uris":["http://zotero.org/users/local/9pHoSXqz/items/8SGW6BKM"],"uri":["http://zotero.org/users/local/9pHoSXqz/items/8SGW6BKM"],"itemData":{"id":133,"type":"article-journal","container-title":"Journal of Crohn's and Colitis","DOI":"10.1016/j.crohns.2014.04.005","ISSN":"1876-4479, 1873-9946","issue":"10","language":"en","page":"1179-1207","source":"DOI.org (Crossref)","title":"Consensus guidelines of ECCO/ESPGHAN on the medical management of pediatric Crohn's disease","volume":"8","author":[{"family":"Ruemmele","given":"F.M."},{"family":"Veres","given":"G."},{"family":"Kolho","given":"K.L."},{"family":"Griffiths","given":"A."},{"family":"Levine","given":"A."},{"family":"Escher","given":"J.C."},{"family":"Amil Dias","given":"J."},{"family":"Barabino","given":"A."},{"family":"Braegger","given":"C.P."},{"family":"Bronsky","given":"J."},{"family":"Buderus","given":"S."},{"family":"Martín-de-Carpi","given":"J."},{"family":"De Ridder","given":"L."},{"family":"Fagerberg","given":"U.L."},{"family":"Hugot","given":"J.P."},{"family":"Kierkus","given":"J."},{"family":"Kolacek","given":"S."},{"family":"Koletzko","given":"S."},{"family":"Lionetti","given":"P."},{"family":"Miele","given":"E."},{"family":"Navas López","given":"V.M."},{"family":"Paerregaard","given":"A."},{"family":"Russell","given":"R.K."},{"family":"Serban","given":"D.E."},{"family":"Shaoul","given":"R."},{"family":"Van Rheenen","given":"P."},{"family":"Veereman","given":"G."},{"family":"Weiss","given":"B."},{"family":"Wilson","given":"D."},{"family":"Dignass","given":"A."},{"family":"Eliakim","given":"A."},{"family":"Winter","given":"H."},{"family":"Turner","given":"D."}],"issued":{"date-parts":[["2014",10,1]]}}}],"schema":"https://github.com/citation-style-language/schema/raw/master/csl-citation.json"} </w:instrText>
      </w:r>
      <w:r w:rsidR="00FE043B">
        <w:rPr>
          <w:sz w:val="24"/>
          <w:szCs w:val="24"/>
        </w:rPr>
        <w:fldChar w:fldCharType="separate"/>
      </w:r>
      <w:r w:rsidR="00935BD9" w:rsidRPr="00935BD9">
        <w:rPr>
          <w:rFonts w:ascii="Calibri" w:hAnsi="Calibri" w:cs="Calibri"/>
          <w:sz w:val="24"/>
          <w:szCs w:val="24"/>
          <w:vertAlign w:val="superscript"/>
        </w:rPr>
        <w:t>74</w:t>
      </w:r>
      <w:r w:rsidR="00FE043B">
        <w:rPr>
          <w:sz w:val="24"/>
          <w:szCs w:val="24"/>
        </w:rPr>
        <w:fldChar w:fldCharType="end"/>
      </w:r>
      <w:r w:rsidR="00FE043B">
        <w:rPr>
          <w:sz w:val="24"/>
          <w:szCs w:val="24"/>
        </w:rPr>
        <w:t xml:space="preserve"> </w:t>
      </w:r>
    </w:p>
    <w:p w14:paraId="33668EB4" w14:textId="7B4381D4" w:rsidR="00E97AD2" w:rsidRDefault="00E97AD2" w:rsidP="00704D76">
      <w:pPr>
        <w:spacing w:line="360" w:lineRule="auto"/>
        <w:jc w:val="both"/>
        <w:rPr>
          <w:sz w:val="24"/>
          <w:szCs w:val="24"/>
        </w:rPr>
      </w:pPr>
      <w:r>
        <w:rPr>
          <w:sz w:val="24"/>
          <w:szCs w:val="24"/>
        </w:rPr>
        <w:t xml:space="preserve">EEN is difficult to adhere to, particularly in adults, and as such is not as widely studied in adults as in children. This is likely due to disruption of normal adult life, poor palatability, lack of experience, and lack </w:t>
      </w:r>
      <w:r w:rsidR="00F068EF">
        <w:rPr>
          <w:sz w:val="24"/>
          <w:szCs w:val="24"/>
        </w:rPr>
        <w:t xml:space="preserve">of </w:t>
      </w:r>
      <w:r>
        <w:rPr>
          <w:sz w:val="24"/>
          <w:szCs w:val="24"/>
        </w:rPr>
        <w:t xml:space="preserve">guidance, </w:t>
      </w:r>
      <w:r w:rsidR="00F068EF">
        <w:rPr>
          <w:sz w:val="24"/>
          <w:szCs w:val="24"/>
        </w:rPr>
        <w:t xml:space="preserve">but </w:t>
      </w:r>
      <w:r>
        <w:rPr>
          <w:sz w:val="24"/>
          <w:szCs w:val="24"/>
        </w:rPr>
        <w:t>not due to inherent differences in the efficacy of EEN in adults.</w:t>
      </w:r>
      <w:r>
        <w:rPr>
          <w:sz w:val="24"/>
          <w:szCs w:val="24"/>
        </w:rPr>
        <w:fldChar w:fldCharType="begin"/>
      </w:r>
      <w:r w:rsidR="00935BD9">
        <w:rPr>
          <w:sz w:val="24"/>
          <w:szCs w:val="24"/>
        </w:rPr>
        <w:instrText xml:space="preserve"> ADDIN ZOTERO_ITEM CSL_CITATION {"citationID":"QhcULOzh","properties":{"formattedCitation":"\\super 75\\nosupersub{}","plainCitation":"75","noteIndex":0},"citationItems":[{"id":137,"uris":["http://zotero.org/users/local/9pHoSXqz/items/JYG2WQZI"],"uri":["http://zotero.org/users/local/9pHoSXqz/items/JYG2WQZI"],"itemData":{"id":137,"type":"article-journal","container-title":"Clinical Nutrition","DOI":"10.1016/j.clnu.2018.01.020","ISSN":"02615614","issue":"1","journalAbbreviation":"Clinical Nutrition","language":"en","page":"80-89","source":"DOI.org (Crossref)","title":"Exclusive enteral nutrition in Crohn's disease: Evidence and practicalities","title-short":"Exclusive enteral nutrition in Crohn's disease","volume":"38","author":[{"family":"Ashton","given":"James J."},{"family":"Gavin","given":"Joan"},{"family":"Beattie","given":"R. Mark"}],"issued":{"date-parts":[["2019",2]]}}}],"schema":"https://github.com/citation-style-language/schema/raw/master/csl-citation.json"}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75</w:t>
      </w:r>
      <w:r>
        <w:rPr>
          <w:sz w:val="24"/>
          <w:szCs w:val="24"/>
        </w:rPr>
        <w:fldChar w:fldCharType="end"/>
      </w:r>
      <w:r>
        <w:rPr>
          <w:sz w:val="24"/>
          <w:szCs w:val="24"/>
        </w:rPr>
        <w:t xml:space="preserve"> Indeed, a 2013 review article found that the main barrier to successful treatment with EEN in adults was adherence, with up to 41% of patient dropping out of EEN treatment.</w:t>
      </w:r>
      <w:r>
        <w:rPr>
          <w:sz w:val="24"/>
          <w:szCs w:val="24"/>
        </w:rPr>
        <w:fldChar w:fldCharType="begin"/>
      </w:r>
      <w:r w:rsidR="00935BD9">
        <w:rPr>
          <w:sz w:val="24"/>
          <w:szCs w:val="24"/>
        </w:rPr>
        <w:instrText xml:space="preserve"> ADDIN ZOTERO_ITEM CSL_CITATION {"citationID":"Q3otH1KA","properties":{"formattedCitation":"\\super 76\\nosupersub{}","plainCitation":"76","noteIndex":0},"citationItems":[{"id":141,"uris":["http://zotero.org/users/local/9pHoSXqz/items/KA247FGP"],"uri":["http://zotero.org/users/local/9pHoSXqz/items/KA247FGP"],"itemData":{"id":141,"type":"article-journal","container-title":"World Journal of Gastroenterology","DOI":"10.3748/wjg.v19.i43.7652","ISSN":"1007-9327","issue":"43","journalAbbreviation":"WJG","language":"en","page":"7652","source":"DOI.org (Crossref)","title":"Use of exclusive enteral nutrition in adults with Crohn’s disease: A review","title-short":"Use of exclusive enteral nutrition in adults with Crohn’s disease","volume":"19","author":[{"family":"Wall","given":"Catherine L"}],"issued":{"date-parts":[["2013"]]}}}],"schema":"https://github.com/citation-style-language/schema/raw/master/csl-citation.json"}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76</w:t>
      </w:r>
      <w:r>
        <w:rPr>
          <w:sz w:val="24"/>
          <w:szCs w:val="24"/>
        </w:rPr>
        <w:fldChar w:fldCharType="end"/>
      </w:r>
      <w:r>
        <w:rPr>
          <w:sz w:val="24"/>
          <w:szCs w:val="24"/>
        </w:rPr>
        <w:t xml:space="preserve"> The article also found no significant difference between EEN and corticosteroids in inducing remission. Due to </w:t>
      </w:r>
      <w:r>
        <w:rPr>
          <w:sz w:val="24"/>
          <w:szCs w:val="24"/>
        </w:rPr>
        <w:lastRenderedPageBreak/>
        <w:t>lack of evidence</w:t>
      </w:r>
      <w:r w:rsidR="00E9185A">
        <w:rPr>
          <w:sz w:val="24"/>
          <w:szCs w:val="24"/>
        </w:rPr>
        <w:t xml:space="preserve"> and low compliance</w:t>
      </w:r>
      <w:r>
        <w:rPr>
          <w:sz w:val="24"/>
          <w:szCs w:val="24"/>
        </w:rPr>
        <w:t>, consensus clinical guidelines in Europe and North America do not recommend EEN as first-line therapy to induce remission in adults.</w:t>
      </w:r>
      <w:r>
        <w:rPr>
          <w:sz w:val="24"/>
          <w:szCs w:val="24"/>
        </w:rPr>
        <w:fldChar w:fldCharType="begin"/>
      </w:r>
      <w:r w:rsidR="00935BD9">
        <w:rPr>
          <w:sz w:val="24"/>
          <w:szCs w:val="24"/>
        </w:rPr>
        <w:instrText xml:space="preserve"> ADDIN ZOTERO_ITEM CSL_CITATION {"citationID":"uMpFIFua","properties":{"formattedCitation":"\\super 77,78\\nosupersub{}","plainCitation":"77,78","noteIndex":0},"citationItems":[{"id":138,"uris":["http://zotero.org/users/local/9pHoSXqz/items/AJ2KJSZB"],"uri":["http://zotero.org/users/local/9pHoSXqz/items/AJ2KJSZB"],"itemData":{"id":138,"type":"article-journal","container-title":"Journal of Crohn's and Colitis","DOI":"10.1016/j.crohns.2009.12.002","ISSN":"18739946","issue":"1","journalAbbreviation":"Journal of Crohn's and Colitis","language":"en","page":"28-62","source":"DOI.org (Crossref)","title":"The second European evidence-based Consensus on the diagnosis and management of Crohn's disease: Current management","title-short":"The second European evidence-based Consensus on the diagnosis and management of Crohn's disease","volume":"4","author":[{"family":"Dignass","given":"A."},{"family":"Van Assche","given":"G."},{"family":"Lindsay","given":"J.O."},{"family":"Lémann","given":"M."},{"family":"Söderholm","given":"J."},{"family":"Colombel","given":"J.F."},{"family":"Danese","given":"S."},{"family":"D'Hoore","given":"A."},{"family":"Gassull","given":"M."},{"family":"Gomollón","given":"F."},{"family":"Hommes","given":"D.W."},{"family":"Michetti","given":"P."},{"family":"O'Morain","given":"C."},{"family":"Öresland","given":"T."},{"family":"Windsor","given":"A."},{"family":"Stange","given":"E.F."},{"family":"Travis","given":"S.P.L."}],"issued":{"date-parts":[["2010",2]]}}},{"id":140,"uris":["http://zotero.org/users/local/9pHoSXqz/items/BTWTQJDC"],"uri":["http://zotero.org/users/local/9pHoSXqz/items/BTWTQJDC"],"itemData":{"id":140,"type":"article-journal","container-title":"The American Journal of Gastroenterology","DOI":"10.1038/ajg.2008.168","ISSN":"0002-9270, 1572-0241","issue":"2","journalAbbreviation":"Am J Gastroenterol","page":"465-483","source":"DOI.org (Crossref)","title":"Management of Crohn's Disease in Adults","volume":"104","author":[{"family":"Lichtenstein","given":"Gary R"},{"family":"Hanauer","given":"Stephen B"},{"family":"Sandborn","given":"William J"}],"issued":{"date-parts":[["2009",2]]}}}],"schema":"https://github.com/citation-style-language/schema/raw/master/csl-citation.json"}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77,78</w:t>
      </w:r>
      <w:r>
        <w:rPr>
          <w:sz w:val="24"/>
          <w:szCs w:val="24"/>
        </w:rPr>
        <w:fldChar w:fldCharType="end"/>
      </w:r>
      <w:r>
        <w:rPr>
          <w:sz w:val="24"/>
          <w:szCs w:val="24"/>
        </w:rPr>
        <w:t xml:space="preserve"> </w:t>
      </w:r>
    </w:p>
    <w:p w14:paraId="7A0B867C" w14:textId="3A7021F8" w:rsidR="00AF6CED" w:rsidRDefault="00FE043B" w:rsidP="00704D76">
      <w:pPr>
        <w:spacing w:line="360" w:lineRule="auto"/>
        <w:jc w:val="both"/>
        <w:rPr>
          <w:sz w:val="24"/>
          <w:szCs w:val="24"/>
        </w:rPr>
      </w:pPr>
      <w:r>
        <w:rPr>
          <w:sz w:val="24"/>
          <w:szCs w:val="24"/>
        </w:rPr>
        <w:t>Partial enter</w:t>
      </w:r>
      <w:r w:rsidR="00827D68">
        <w:rPr>
          <w:sz w:val="24"/>
          <w:szCs w:val="24"/>
        </w:rPr>
        <w:t>al</w:t>
      </w:r>
      <w:r>
        <w:rPr>
          <w:sz w:val="24"/>
          <w:szCs w:val="24"/>
        </w:rPr>
        <w:t xml:space="preserve"> nutrition (PEN), the practice of giving a certain portion of the patient’s energy needs by liquid formula and the remainder by normal foods, has not shown efficacy in inducing remission </w:t>
      </w:r>
      <w:r w:rsidR="00F068EF">
        <w:rPr>
          <w:sz w:val="24"/>
          <w:szCs w:val="24"/>
        </w:rPr>
        <w:t xml:space="preserve">neither in </w:t>
      </w:r>
      <w:r>
        <w:rPr>
          <w:sz w:val="24"/>
          <w:szCs w:val="24"/>
        </w:rPr>
        <w:t xml:space="preserve">paediatric </w:t>
      </w:r>
      <w:r w:rsidR="00F068EF">
        <w:rPr>
          <w:sz w:val="24"/>
          <w:szCs w:val="24"/>
        </w:rPr>
        <w:t>nor in</w:t>
      </w:r>
      <w:r>
        <w:rPr>
          <w:sz w:val="24"/>
          <w:szCs w:val="24"/>
        </w:rPr>
        <w:t xml:space="preserve"> adult CD patients. </w:t>
      </w:r>
      <w:r w:rsidR="00AF6CED">
        <w:rPr>
          <w:sz w:val="24"/>
          <w:szCs w:val="24"/>
        </w:rPr>
        <w:t xml:space="preserve">The discrepancy between the efficacy of EEN and PEN suggests that the effect of the former depends, at least in part, on exclusion of free diet. Likely, there are some foods in the “default” diet of CD patients which are included or </w:t>
      </w:r>
      <w:proofErr w:type="gramStart"/>
      <w:r w:rsidR="00AF6CED">
        <w:rPr>
          <w:sz w:val="24"/>
          <w:szCs w:val="24"/>
        </w:rPr>
        <w:t>excluded</w:t>
      </w:r>
      <w:proofErr w:type="gramEnd"/>
      <w:r w:rsidR="00AF6CED">
        <w:rPr>
          <w:sz w:val="24"/>
          <w:szCs w:val="24"/>
        </w:rPr>
        <w:t xml:space="preserve"> and which influence the activity of the disease.</w:t>
      </w:r>
    </w:p>
    <w:p w14:paraId="6E42F1B3" w14:textId="7E4B9CF0" w:rsidR="005C290B" w:rsidRDefault="005C290B" w:rsidP="005C290B">
      <w:pPr>
        <w:pStyle w:val="Overskrift4"/>
      </w:pPr>
      <w:bookmarkStart w:id="17" w:name="_Toc93326813"/>
      <w:r>
        <w:t>6.3</w:t>
      </w:r>
      <w:r w:rsidR="00E23D64">
        <w:t>.</w:t>
      </w:r>
      <w:r>
        <w:t xml:space="preserve"> Crohn disease exclusion diet</w:t>
      </w:r>
      <w:bookmarkEnd w:id="17"/>
    </w:p>
    <w:p w14:paraId="3FA1D9CE" w14:textId="49E9D72A" w:rsidR="00622EF3" w:rsidRPr="00622EF3" w:rsidRDefault="00AF6CED" w:rsidP="00704D76">
      <w:pPr>
        <w:spacing w:line="360" w:lineRule="auto"/>
        <w:jc w:val="both"/>
        <w:rPr>
          <w:sz w:val="24"/>
          <w:szCs w:val="24"/>
        </w:rPr>
      </w:pPr>
      <w:r>
        <w:rPr>
          <w:sz w:val="24"/>
          <w:szCs w:val="24"/>
        </w:rPr>
        <w:t>The findings of a</w:t>
      </w:r>
      <w:r w:rsidR="00FE043B">
        <w:rPr>
          <w:sz w:val="24"/>
          <w:szCs w:val="24"/>
        </w:rPr>
        <w:t xml:space="preserve"> 2014 clinical trial</w:t>
      </w:r>
      <w:r>
        <w:rPr>
          <w:sz w:val="24"/>
          <w:szCs w:val="24"/>
        </w:rPr>
        <w:t>, which</w:t>
      </w:r>
      <w:r w:rsidR="00FE043B">
        <w:rPr>
          <w:sz w:val="24"/>
          <w:szCs w:val="24"/>
        </w:rPr>
        <w:t xml:space="preserve"> examined the efficacy of the combination of PEN and a Crohn disease exclusion diet</w:t>
      </w:r>
      <w:r w:rsidR="00E97AD2">
        <w:rPr>
          <w:sz w:val="24"/>
          <w:szCs w:val="24"/>
        </w:rPr>
        <w:t xml:space="preserve"> (CDED)</w:t>
      </w:r>
      <w:r>
        <w:rPr>
          <w:sz w:val="24"/>
          <w:szCs w:val="24"/>
        </w:rPr>
        <w:t>, support this hypothesis. It found that the combination of PEN and the exclusion diet (CDED)</w:t>
      </w:r>
      <w:r w:rsidR="00743C02">
        <w:rPr>
          <w:sz w:val="24"/>
          <w:szCs w:val="24"/>
        </w:rPr>
        <w:t xml:space="preserve"> for 6 weeks</w:t>
      </w:r>
      <w:r w:rsidR="00FE043B">
        <w:rPr>
          <w:sz w:val="24"/>
          <w:szCs w:val="24"/>
        </w:rPr>
        <w:t xml:space="preserve"> </w:t>
      </w:r>
      <w:r>
        <w:rPr>
          <w:sz w:val="24"/>
          <w:szCs w:val="24"/>
        </w:rPr>
        <w:t xml:space="preserve">was efficacious </w:t>
      </w:r>
      <w:r w:rsidR="00FE043B">
        <w:rPr>
          <w:sz w:val="24"/>
          <w:szCs w:val="24"/>
        </w:rPr>
        <w:t>in the induction of remission in children and young adults</w:t>
      </w:r>
      <w:r>
        <w:rPr>
          <w:sz w:val="24"/>
          <w:szCs w:val="24"/>
        </w:rPr>
        <w:t>.</w:t>
      </w:r>
      <w:r w:rsidR="00FE043B">
        <w:rPr>
          <w:sz w:val="24"/>
          <w:szCs w:val="24"/>
        </w:rPr>
        <w:fldChar w:fldCharType="begin"/>
      </w:r>
      <w:r w:rsidR="00935BD9">
        <w:rPr>
          <w:sz w:val="24"/>
          <w:szCs w:val="24"/>
        </w:rPr>
        <w:instrText xml:space="preserve"> ADDIN ZOTERO_ITEM CSL_CITATION {"citationID":"F6dxnMFS","properties":{"formattedCitation":"\\super 79\\nosupersub{}","plainCitation":"79","noteIndex":0},"citationItems":[{"id":135,"uris":["http://zotero.org/users/local/9pHoSXqz/items/9JBKAGP6"],"uri":["http://zotero.org/users/local/9pHoSXqz/items/9JBKAGP6"],"itemData":{"id":135,"type":"article-journal","container-title":"Inflammatory Bowel Diseases","DOI":"10.1097/MIB.0000000000000110","ISSN":"1078-0998","issue":"8","journalAbbreviation":"Inflammatory Bowel Diseases","language":"en","page":"1353-1360","source":"DOI.org (Crossref)","title":"Partial Enteral Nutrition with a Crohnʼs Disease Exclusion Diet Is Effective for Induction of Remission in Children and Young Adults with Crohnʼs Disease:","title-short":"Partial Enteral Nutrition with a Crohnʼs Disease Exclusion Diet Is Effective for Induction of Remission in Children and Young Adults with Crohnʼs Disease","volume":"20","author":[{"family":"Sigall-Boneh","given":"Rotem"},{"family":"Pfeffer-Gik","given":"Tamar"},{"family":"Segal","given":"Idit"},{"family":"Zangen","given":"Tsili"},{"family":"Boaz","given":"Mona"},{"family":"Levine","given":"Arie"}],"issued":{"date-parts":[["2014",8]]}}}],"schema":"https://github.com/citation-style-language/schema/raw/master/csl-citation.json"} </w:instrText>
      </w:r>
      <w:r w:rsidR="00FE043B">
        <w:rPr>
          <w:sz w:val="24"/>
          <w:szCs w:val="24"/>
        </w:rPr>
        <w:fldChar w:fldCharType="separate"/>
      </w:r>
      <w:r w:rsidR="00935BD9" w:rsidRPr="00935BD9">
        <w:rPr>
          <w:rFonts w:ascii="Calibri" w:hAnsi="Calibri" w:cs="Calibri"/>
          <w:sz w:val="24"/>
          <w:szCs w:val="24"/>
          <w:vertAlign w:val="superscript"/>
        </w:rPr>
        <w:t>79</w:t>
      </w:r>
      <w:r w:rsidR="00FE043B">
        <w:rPr>
          <w:sz w:val="24"/>
          <w:szCs w:val="24"/>
        </w:rPr>
        <w:fldChar w:fldCharType="end"/>
      </w:r>
      <w:r w:rsidR="00FE043B">
        <w:rPr>
          <w:sz w:val="24"/>
          <w:szCs w:val="24"/>
        </w:rPr>
        <w:t xml:space="preserve"> </w:t>
      </w:r>
      <w:r w:rsidR="00652A52">
        <w:rPr>
          <w:sz w:val="24"/>
          <w:szCs w:val="24"/>
        </w:rPr>
        <w:t xml:space="preserve">Half of the estimated daily calorie requirement was provided by PEN, and half from the diet. </w:t>
      </w:r>
      <w:r w:rsidR="00622EF3">
        <w:rPr>
          <w:sz w:val="24"/>
          <w:szCs w:val="24"/>
        </w:rPr>
        <w:t xml:space="preserve">The primary endpoint was remission (defined as Harvey-Bradshaw Index (HBI) &lt; 5 in adults or &lt; 3 in children), and the secondary endpoints included normalisation of CRP, a drop in HBI of at least 2 points (defined as a </w:t>
      </w:r>
      <w:r w:rsidR="00622EF3">
        <w:rPr>
          <w:i/>
          <w:iCs/>
          <w:sz w:val="24"/>
          <w:szCs w:val="24"/>
        </w:rPr>
        <w:t>response</w:t>
      </w:r>
      <w:r w:rsidR="00274339">
        <w:rPr>
          <w:sz w:val="24"/>
          <w:szCs w:val="24"/>
        </w:rPr>
        <w:t>) or</w:t>
      </w:r>
      <w:r w:rsidR="00622EF3">
        <w:rPr>
          <w:sz w:val="24"/>
          <w:szCs w:val="24"/>
        </w:rPr>
        <w:t xml:space="preserve"> change in specific blood tests from baseline such as haemoglobin, albumin, ESR, and CRP.</w:t>
      </w:r>
    </w:p>
    <w:p w14:paraId="671FEB01" w14:textId="3CC903A1" w:rsidR="00980C4F" w:rsidRDefault="00980C1E" w:rsidP="00980C4F">
      <w:pPr>
        <w:spacing w:line="360" w:lineRule="auto"/>
        <w:jc w:val="both"/>
        <w:rPr>
          <w:sz w:val="24"/>
          <w:szCs w:val="24"/>
        </w:rPr>
      </w:pPr>
      <w:r>
        <w:rPr>
          <w:sz w:val="24"/>
          <w:szCs w:val="24"/>
        </w:rPr>
        <w:t>After 6 weeks, r</w:t>
      </w:r>
      <w:r w:rsidR="004C552E">
        <w:rPr>
          <w:sz w:val="24"/>
          <w:szCs w:val="24"/>
        </w:rPr>
        <w:t xml:space="preserve">emission was reached in </w:t>
      </w:r>
      <w:r w:rsidR="008C5D6F">
        <w:rPr>
          <w:sz w:val="24"/>
          <w:szCs w:val="24"/>
        </w:rPr>
        <w:t>33/47 (</w:t>
      </w:r>
      <w:r w:rsidR="004C552E">
        <w:rPr>
          <w:sz w:val="24"/>
          <w:szCs w:val="24"/>
        </w:rPr>
        <w:t>70%</w:t>
      </w:r>
      <w:r w:rsidR="008C5D6F">
        <w:rPr>
          <w:sz w:val="24"/>
          <w:szCs w:val="24"/>
        </w:rPr>
        <w:t>)</w:t>
      </w:r>
      <w:r w:rsidR="004C552E">
        <w:rPr>
          <w:sz w:val="24"/>
          <w:szCs w:val="24"/>
        </w:rPr>
        <w:t xml:space="preserve"> of children and </w:t>
      </w:r>
      <w:r w:rsidR="008C5D6F">
        <w:rPr>
          <w:sz w:val="24"/>
          <w:szCs w:val="24"/>
        </w:rPr>
        <w:t>9/13 (</w:t>
      </w:r>
      <w:r w:rsidR="004C552E">
        <w:rPr>
          <w:sz w:val="24"/>
          <w:szCs w:val="24"/>
        </w:rPr>
        <w:t>69%</w:t>
      </w:r>
      <w:r w:rsidR="008C5D6F">
        <w:rPr>
          <w:sz w:val="24"/>
          <w:szCs w:val="24"/>
        </w:rPr>
        <w:t>)</w:t>
      </w:r>
      <w:r w:rsidR="004C552E">
        <w:rPr>
          <w:sz w:val="24"/>
          <w:szCs w:val="24"/>
        </w:rPr>
        <w:t xml:space="preserve"> of adults. </w:t>
      </w:r>
      <w:r w:rsidR="00622EF3">
        <w:rPr>
          <w:sz w:val="24"/>
          <w:szCs w:val="24"/>
        </w:rPr>
        <w:t>Among children, remission was achieved more frequently in those with mild and moderate disease (75% and 71%, respectively), compared to those with severe disease (33%).</w:t>
      </w:r>
      <w:r w:rsidR="00C96B3C">
        <w:rPr>
          <w:sz w:val="24"/>
          <w:szCs w:val="24"/>
        </w:rPr>
        <w:t xml:space="preserve"> Virtually no study participants experienced an increase in CRP.</w:t>
      </w:r>
      <w:r w:rsidR="00980C4F" w:rsidRPr="00980C4F">
        <w:rPr>
          <w:sz w:val="24"/>
          <w:szCs w:val="24"/>
        </w:rPr>
        <w:t xml:space="preserve"> </w:t>
      </w:r>
      <w:r w:rsidR="00980C4F">
        <w:rPr>
          <w:sz w:val="24"/>
          <w:szCs w:val="24"/>
        </w:rPr>
        <w:t>The components of the Crohn disease exclusion diet used is shown in figure 1.</w:t>
      </w:r>
    </w:p>
    <w:p w14:paraId="321AF2BF" w14:textId="4E876F63" w:rsidR="008C5D6F" w:rsidRDefault="008C5D6F" w:rsidP="00704D76">
      <w:pPr>
        <w:spacing w:line="360" w:lineRule="auto"/>
        <w:jc w:val="both"/>
        <w:rPr>
          <w:sz w:val="24"/>
          <w:szCs w:val="24"/>
        </w:rPr>
      </w:pPr>
    </w:p>
    <w:p w14:paraId="7FAB8844" w14:textId="77777777" w:rsidR="00743C02" w:rsidRDefault="00743C02" w:rsidP="00BC4352">
      <w:pPr>
        <w:keepNext/>
        <w:spacing w:line="360" w:lineRule="auto"/>
        <w:jc w:val="both"/>
      </w:pPr>
      <w:r w:rsidRPr="00743C02">
        <w:rPr>
          <w:noProof/>
          <w:sz w:val="24"/>
          <w:szCs w:val="24"/>
        </w:rPr>
        <w:lastRenderedPageBreak/>
        <w:drawing>
          <wp:inline distT="0" distB="0" distL="0" distR="0" wp14:anchorId="4C789CFA" wp14:editId="6EA48601">
            <wp:extent cx="4690753" cy="540639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23593"/>
                    <a:stretch/>
                  </pic:blipFill>
                  <pic:spPr bwMode="auto">
                    <a:xfrm>
                      <a:off x="0" y="0"/>
                      <a:ext cx="4690753" cy="5406390"/>
                    </a:xfrm>
                    <a:prstGeom prst="rect">
                      <a:avLst/>
                    </a:prstGeom>
                    <a:ln>
                      <a:noFill/>
                    </a:ln>
                    <a:extLst>
                      <a:ext uri="{53640926-AAD7-44D8-BBD7-CCE9431645EC}">
                        <a14:shadowObscured xmlns:a14="http://schemas.microsoft.com/office/drawing/2010/main"/>
                      </a:ext>
                    </a:extLst>
                  </pic:spPr>
                </pic:pic>
              </a:graphicData>
            </a:graphic>
          </wp:inline>
        </w:drawing>
      </w:r>
    </w:p>
    <w:p w14:paraId="59537B7B" w14:textId="07B00FED" w:rsidR="00743C02" w:rsidRDefault="00743C02" w:rsidP="00704D76">
      <w:pPr>
        <w:pStyle w:val="Bildetekst"/>
        <w:jc w:val="both"/>
      </w:pPr>
      <w:r>
        <w:t xml:space="preserve">Figure </w:t>
      </w:r>
      <w:fldSimple w:instr=" SEQ Figure \* ARABIC ">
        <w:r w:rsidR="0026666E">
          <w:rPr>
            <w:noProof/>
          </w:rPr>
          <w:t>1</w:t>
        </w:r>
      </w:fldSimple>
      <w:r>
        <w:t xml:space="preserve">. This figure shows the </w:t>
      </w:r>
      <w:r w:rsidR="00980C1E">
        <w:t xml:space="preserve">components, inclusions, and exclusions of the </w:t>
      </w:r>
      <w:r>
        <w:t xml:space="preserve">Crohn disease exclusion diet </w:t>
      </w:r>
      <w:r w:rsidR="00980C1E">
        <w:t xml:space="preserve">(CDED) </w:t>
      </w:r>
      <w:r>
        <w:t xml:space="preserve">which was used in the 2014 study by </w:t>
      </w:r>
      <w:proofErr w:type="spellStart"/>
      <w:r>
        <w:t>Sigall-Boneh</w:t>
      </w:r>
      <w:proofErr w:type="spellEnd"/>
      <w:r w:rsidR="007348D8">
        <w:t xml:space="preserve"> et al.</w:t>
      </w:r>
      <w:r>
        <w:fldChar w:fldCharType="begin"/>
      </w:r>
      <w:r w:rsidR="00935BD9">
        <w:instrText xml:space="preserve"> ADDIN ZOTERO_ITEM CSL_CITATION {"citationID":"1HbZ6jCJ","properties":{"formattedCitation":"\\super 79\\nosupersub{}","plainCitation":"79","noteIndex":0},"citationItems":[{"id":135,"uris":["http://zotero.org/users/local/9pHoSXqz/items/9JBKAGP6"],"uri":["http://zotero.org/users/local/9pHoSXqz/items/9JBKAGP6"],"itemData":{"id":135,"type":"article-journal","container-title":"Inflammatory Bowel Diseases","DOI":"10.1097/MIB.0000000000000110","ISSN":"1078-0998","issue":"8","journalAbbreviation":"Inflammatory Bowel Diseases","language":"en","page":"1353-1360","source":"DOI.org (Crossref)","title":"Partial Enteral Nutrition with a Crohnʼs Disease Exclusion Diet Is Effective for Induction of Remission in Children and Young Adults with Crohnʼs Disease:","title-short":"Partial Enteral Nutrition with a Crohnʼs Disease Exclusion Diet Is Effective for Induction of Remission in Children and Young Adults with Crohnʼs Disease","volume":"20","author":[{"family":"Sigall-Boneh","given":"Rotem"},{"family":"Pfeffer-Gik","given":"Tamar"},{"family":"Segal","given":"Idit"},{"family":"Zangen","given":"Tsili"},{"family":"Boaz","given":"Mona"},{"family":"Levine","given":"Arie"}],"issued":{"date-parts":[["2014",8]]}}}],"schema":"https://github.com/citation-style-language/schema/raw/master/csl-citation.json"} </w:instrText>
      </w:r>
      <w:r>
        <w:fldChar w:fldCharType="separate"/>
      </w:r>
      <w:r w:rsidR="00935BD9" w:rsidRPr="00935BD9">
        <w:rPr>
          <w:rFonts w:ascii="Calibri" w:hAnsi="Calibri" w:cs="Calibri"/>
          <w:szCs w:val="24"/>
          <w:vertAlign w:val="superscript"/>
        </w:rPr>
        <w:t>79</w:t>
      </w:r>
      <w:r>
        <w:fldChar w:fldCharType="end"/>
      </w:r>
      <w:r>
        <w:t xml:space="preserve"> </w:t>
      </w:r>
    </w:p>
    <w:p w14:paraId="7A39BBEF" w14:textId="26861884" w:rsidR="00980C4F" w:rsidRDefault="00980C4F" w:rsidP="00AF6CED">
      <w:pPr>
        <w:spacing w:line="360" w:lineRule="auto"/>
        <w:jc w:val="both"/>
        <w:rPr>
          <w:sz w:val="24"/>
          <w:szCs w:val="24"/>
        </w:rPr>
      </w:pPr>
      <w:r>
        <w:rPr>
          <w:sz w:val="24"/>
          <w:szCs w:val="24"/>
        </w:rPr>
        <w:t>After the first 6 weeks of PEN and CDED, those participants who experienced remission were put on a step-down diet for another 6 weeks to ease the transition to their habitual diet. This step-down diet involved a 25%/75% split of calories from PEN and diet, respectively, while also allowing small amounts of bread, nuts, fruits, legumes, and vegetables.</w:t>
      </w:r>
      <w:r w:rsidR="00274339">
        <w:rPr>
          <w:sz w:val="24"/>
          <w:szCs w:val="24"/>
        </w:rPr>
        <w:t xml:space="preserve"> At week 12, 27/32 (84%) of these participants were still in </w:t>
      </w:r>
      <w:r w:rsidR="00274339">
        <w:rPr>
          <w:sz w:val="24"/>
          <w:szCs w:val="24"/>
        </w:rPr>
        <w:lastRenderedPageBreak/>
        <w:t xml:space="preserve">remission. Three of those who relapsed between week 6 and 12 repeated the CDED again, and 2/3 regained remission. </w:t>
      </w:r>
    </w:p>
    <w:p w14:paraId="37A596F7" w14:textId="2C5CABDB" w:rsidR="009E31A6" w:rsidRDefault="00AF6CED" w:rsidP="00AF6CED">
      <w:pPr>
        <w:spacing w:line="360" w:lineRule="auto"/>
        <w:jc w:val="both"/>
        <w:rPr>
          <w:sz w:val="24"/>
          <w:szCs w:val="24"/>
        </w:rPr>
      </w:pPr>
      <w:r>
        <w:rPr>
          <w:sz w:val="24"/>
          <w:szCs w:val="24"/>
        </w:rPr>
        <w:t xml:space="preserve">The CDED is strict, excluding several foods which may be part of a normal diet. </w:t>
      </w:r>
      <w:r w:rsidR="005C290B">
        <w:rPr>
          <w:sz w:val="24"/>
          <w:szCs w:val="24"/>
        </w:rPr>
        <w:t>Despite this</w:t>
      </w:r>
      <w:r>
        <w:rPr>
          <w:sz w:val="24"/>
          <w:szCs w:val="24"/>
        </w:rPr>
        <w:t>, of the 47 participants in the original study, only 5 (11%) were not compliant.</w:t>
      </w:r>
      <w:r w:rsidR="005C290B">
        <w:rPr>
          <w:sz w:val="24"/>
          <w:szCs w:val="24"/>
        </w:rPr>
        <w:t xml:space="preserve"> However, the age of the participants was that of children and young adults (age range at onset 6 – 28), and it is known from studies on EEN in adults that children and young adults may tolerate these drastic dietary changes better than other adults. </w:t>
      </w:r>
      <w:r w:rsidR="009E31A6">
        <w:rPr>
          <w:sz w:val="24"/>
          <w:szCs w:val="24"/>
        </w:rPr>
        <w:t>Further studies are needed to examine whether this disease is tolerable in the larger population.</w:t>
      </w:r>
    </w:p>
    <w:p w14:paraId="5E01FBED" w14:textId="392B70D2" w:rsidR="00AF6CED" w:rsidRDefault="00F230E5" w:rsidP="00AF6CED">
      <w:pPr>
        <w:spacing w:line="360" w:lineRule="auto"/>
        <w:jc w:val="both"/>
        <w:rPr>
          <w:sz w:val="24"/>
          <w:szCs w:val="24"/>
        </w:rPr>
      </w:pPr>
      <w:r>
        <w:rPr>
          <w:sz w:val="24"/>
          <w:szCs w:val="24"/>
        </w:rPr>
        <w:t xml:space="preserve">In the study, seven patients used the CDED without PEN (due to refusal of formula). Of these </w:t>
      </w:r>
      <w:r w:rsidR="00B74D04">
        <w:rPr>
          <w:sz w:val="24"/>
          <w:szCs w:val="24"/>
        </w:rPr>
        <w:t>seven</w:t>
      </w:r>
      <w:r>
        <w:rPr>
          <w:sz w:val="24"/>
          <w:szCs w:val="24"/>
        </w:rPr>
        <w:t xml:space="preserve">, </w:t>
      </w:r>
      <w:r w:rsidR="00B74D04">
        <w:rPr>
          <w:sz w:val="24"/>
          <w:szCs w:val="24"/>
        </w:rPr>
        <w:t>six</w:t>
      </w:r>
      <w:r>
        <w:rPr>
          <w:sz w:val="24"/>
          <w:szCs w:val="24"/>
        </w:rPr>
        <w:t xml:space="preserve"> entered </w:t>
      </w:r>
      <w:proofErr w:type="gramStart"/>
      <w:r>
        <w:rPr>
          <w:sz w:val="24"/>
          <w:szCs w:val="24"/>
        </w:rPr>
        <w:t>remission</w:t>
      </w:r>
      <w:proofErr w:type="gramEnd"/>
      <w:r>
        <w:rPr>
          <w:sz w:val="24"/>
          <w:szCs w:val="24"/>
        </w:rPr>
        <w:t>. No conclusions can be derived from a sample size this small, but further studies should examine the efficacy of CDED alone. However, t</w:t>
      </w:r>
      <w:r w:rsidR="005C290B">
        <w:rPr>
          <w:sz w:val="24"/>
          <w:szCs w:val="24"/>
        </w:rPr>
        <w:t xml:space="preserve">he nutrient composition of the </w:t>
      </w:r>
      <w:r>
        <w:rPr>
          <w:sz w:val="24"/>
          <w:szCs w:val="24"/>
        </w:rPr>
        <w:t xml:space="preserve">Crohn disease exclusion </w:t>
      </w:r>
      <w:r w:rsidR="005C290B">
        <w:rPr>
          <w:sz w:val="24"/>
          <w:szCs w:val="24"/>
        </w:rPr>
        <w:t xml:space="preserve">diet </w:t>
      </w:r>
      <w:r>
        <w:rPr>
          <w:sz w:val="24"/>
          <w:szCs w:val="24"/>
        </w:rPr>
        <w:t xml:space="preserve">alone </w:t>
      </w:r>
      <w:r w:rsidR="005C290B">
        <w:rPr>
          <w:sz w:val="24"/>
          <w:szCs w:val="24"/>
        </w:rPr>
        <w:t xml:space="preserve">may not be optimal, potentially lacking certain vitamins and micronutrients. </w:t>
      </w:r>
      <w:r>
        <w:rPr>
          <w:sz w:val="24"/>
          <w:szCs w:val="24"/>
        </w:rPr>
        <w:t>As noted in the original study, w</w:t>
      </w:r>
      <w:r w:rsidR="005C290B">
        <w:rPr>
          <w:sz w:val="24"/>
          <w:szCs w:val="24"/>
        </w:rPr>
        <w:t xml:space="preserve">ith the complete exclusion of </w:t>
      </w:r>
      <w:r w:rsidR="00980C4F">
        <w:rPr>
          <w:sz w:val="24"/>
          <w:szCs w:val="24"/>
        </w:rPr>
        <w:t>grain</w:t>
      </w:r>
      <w:r w:rsidR="005C290B">
        <w:rPr>
          <w:sz w:val="24"/>
          <w:szCs w:val="24"/>
        </w:rPr>
        <w:t xml:space="preserve"> and dairy products, calcium intake may not reach the recommended daily intake. </w:t>
      </w:r>
    </w:p>
    <w:p w14:paraId="78D017BE" w14:textId="0A721E3F" w:rsidR="00C0353E" w:rsidRDefault="006C351C" w:rsidP="00704D76">
      <w:pPr>
        <w:pStyle w:val="Overskrift4"/>
        <w:jc w:val="both"/>
      </w:pPr>
      <w:bookmarkStart w:id="18" w:name="_Toc93326814"/>
      <w:r>
        <w:t>6</w:t>
      </w:r>
      <w:r w:rsidR="00C0353E">
        <w:t>.</w:t>
      </w:r>
      <w:r w:rsidR="005C290B">
        <w:t>4</w:t>
      </w:r>
      <w:r w:rsidR="00C0353E">
        <w:t>. CD-TREAT diet</w:t>
      </w:r>
      <w:bookmarkEnd w:id="18"/>
    </w:p>
    <w:p w14:paraId="07A5A582" w14:textId="0527EE23" w:rsidR="00946A23" w:rsidRDefault="00876ABB" w:rsidP="00704D76">
      <w:pPr>
        <w:spacing w:line="360" w:lineRule="auto"/>
        <w:jc w:val="both"/>
        <w:rPr>
          <w:sz w:val="24"/>
          <w:szCs w:val="24"/>
        </w:rPr>
      </w:pPr>
      <w:r>
        <w:rPr>
          <w:sz w:val="24"/>
          <w:szCs w:val="24"/>
        </w:rPr>
        <w:t xml:space="preserve">A 2019 study </w:t>
      </w:r>
      <w:r w:rsidR="00946A23">
        <w:rPr>
          <w:sz w:val="24"/>
          <w:szCs w:val="24"/>
        </w:rPr>
        <w:t>examined the effects of</w:t>
      </w:r>
      <w:r>
        <w:rPr>
          <w:sz w:val="24"/>
          <w:szCs w:val="24"/>
        </w:rPr>
        <w:t xml:space="preserve"> an individualised diet called </w:t>
      </w:r>
      <w:r w:rsidR="00DF3043">
        <w:rPr>
          <w:sz w:val="24"/>
          <w:szCs w:val="24"/>
        </w:rPr>
        <w:t>CD-TREAT</w:t>
      </w:r>
      <w:r w:rsidR="00946A23" w:rsidRPr="00946A23">
        <w:rPr>
          <w:sz w:val="24"/>
          <w:szCs w:val="24"/>
        </w:rPr>
        <w:t xml:space="preserve"> </w:t>
      </w:r>
      <w:r w:rsidR="00946A23">
        <w:rPr>
          <w:sz w:val="24"/>
          <w:szCs w:val="24"/>
        </w:rPr>
        <w:t>and evaluated its effects on healthy adults, children with active CD, as well as animal models.</w:t>
      </w:r>
      <w:r w:rsidR="00946A23">
        <w:rPr>
          <w:sz w:val="24"/>
          <w:szCs w:val="24"/>
        </w:rPr>
        <w:fldChar w:fldCharType="begin"/>
      </w:r>
      <w:r w:rsidR="00935BD9">
        <w:rPr>
          <w:sz w:val="24"/>
          <w:szCs w:val="24"/>
        </w:rPr>
        <w:instrText xml:space="preserve"> ADDIN ZOTERO_ITEM CSL_CITATION {"citationID":"JwDKdeIy","properties":{"formattedCitation":"\\super 80\\nosupersub{}","plainCitation":"80","noteIndex":0},"citationItems":[{"id":202,"uris":["http://zotero.org/users/local/9pHoSXqz/items/9RUKXQ5A"],"uri":["http://zotero.org/users/local/9pHoSXqz/items/9RUKXQ5A"],"itemData":{"id":202,"type":"article-journal","container-title":"Gastroenterology","DOI":"10.1053/j.gastro.2018.12.002","ISSN":"00165085","issue":"5","journalAbbreviation":"Gastroenterology","language":"en","page":"1354-1367.e6","source":"DOI.org (Crossref)","title":"Treatment of Active Crohn’s Disease With an Ordinary Food-based Diet That Replicates Exclusive Enteral Nutrition","volume":"156","author":[{"family":"Svolos","given":"Vaios"},{"family":"Hansen","given":"Richard"},{"family":"Nichols","given":"Ben"},{"family":"Quince","given":"Christopher"},{"family":"Ijaz","given":"Umer Z."},{"family":"Papadopoulou","given":"Rodanthi T."},{"family":"Edwards","given":"Christine A."},{"family":"Watson","given":"David"},{"family":"Alghamdi","given":"Adel"},{"family":"Brejnrod","given":"Asker"},{"family":"Ansalone","given":"Cecilia"},{"family":"Duncan","given":"Hazel"},{"family":"Gervais","given":"Lisa"},{"family":"Tayler","given":"Rachel"},{"family":"Salmond","given":"Jonathan"},{"family":"Bolognini","given":"Daniele"},{"family":"Klopfleisch","given":"Robert"},{"family":"Gaya","given":"Daniel R."},{"family":"Milling","given":"Simon"},{"family":"Russell","given":"Richard K."},{"family":"Gerasimidis","given":"Konstantinos"}],"issued":{"date-parts":[["2019",4]]}}}],"schema":"https://github.com/citation-style-language/schema/raw/master/csl-citation.json"} </w:instrText>
      </w:r>
      <w:r w:rsidR="00946A23">
        <w:rPr>
          <w:sz w:val="24"/>
          <w:szCs w:val="24"/>
        </w:rPr>
        <w:fldChar w:fldCharType="separate"/>
      </w:r>
      <w:r w:rsidR="00935BD9" w:rsidRPr="00935BD9">
        <w:rPr>
          <w:rFonts w:ascii="Calibri" w:hAnsi="Calibri" w:cs="Calibri"/>
          <w:sz w:val="24"/>
          <w:szCs w:val="24"/>
          <w:vertAlign w:val="superscript"/>
        </w:rPr>
        <w:t>80</w:t>
      </w:r>
      <w:r w:rsidR="00946A23">
        <w:rPr>
          <w:sz w:val="24"/>
          <w:szCs w:val="24"/>
        </w:rPr>
        <w:fldChar w:fldCharType="end"/>
      </w:r>
      <w:r w:rsidR="00946A23">
        <w:rPr>
          <w:sz w:val="24"/>
          <w:szCs w:val="24"/>
        </w:rPr>
        <w:t xml:space="preserve"> This diet aims to have </w:t>
      </w:r>
      <w:r>
        <w:rPr>
          <w:sz w:val="24"/>
          <w:szCs w:val="24"/>
        </w:rPr>
        <w:t xml:space="preserve">a similar composition to EEN </w:t>
      </w:r>
      <w:r w:rsidR="007D4042">
        <w:rPr>
          <w:sz w:val="24"/>
          <w:szCs w:val="24"/>
        </w:rPr>
        <w:t xml:space="preserve">while being more tolerable than </w:t>
      </w:r>
      <w:r w:rsidR="00F068EF">
        <w:rPr>
          <w:sz w:val="24"/>
          <w:szCs w:val="24"/>
        </w:rPr>
        <w:t>that</w:t>
      </w:r>
      <w:r w:rsidR="00946A23">
        <w:rPr>
          <w:sz w:val="24"/>
          <w:szCs w:val="24"/>
        </w:rPr>
        <w:t>.</w:t>
      </w:r>
      <w:r w:rsidR="00946A23" w:rsidRPr="00946A23">
        <w:rPr>
          <w:sz w:val="24"/>
          <w:szCs w:val="24"/>
        </w:rPr>
        <w:t xml:space="preserve"> </w:t>
      </w:r>
      <w:r w:rsidR="00946A23">
        <w:rPr>
          <w:sz w:val="24"/>
          <w:szCs w:val="24"/>
        </w:rPr>
        <w:t>To recreate the features of EEN as closely as possible, the CD-TREAT diet matches the macronutrient, vitamin, mineral, and fibre composition of EEN, and excludes certain dietary components, although the original paper only specifies three of them (gluten, lactose, and alcohol). To increase tolerability, the diet considers food preferences. A multivitamin was administered to ensure sufficient intake of micronutrients and vitamins. Figure 2 shows a day’s menu of one of the participants.</w:t>
      </w:r>
    </w:p>
    <w:p w14:paraId="08FAECC2" w14:textId="77777777" w:rsidR="007D1675" w:rsidRDefault="007D1675" w:rsidP="00BC4352">
      <w:pPr>
        <w:keepNext/>
        <w:spacing w:line="360" w:lineRule="auto"/>
        <w:jc w:val="center"/>
      </w:pPr>
      <w:r w:rsidRPr="007D1675">
        <w:rPr>
          <w:noProof/>
          <w:sz w:val="24"/>
          <w:szCs w:val="24"/>
        </w:rPr>
        <w:lastRenderedPageBreak/>
        <w:drawing>
          <wp:inline distT="0" distB="0" distL="0" distR="0" wp14:anchorId="073A469B" wp14:editId="0E4F2D33">
            <wp:extent cx="5100638" cy="2201775"/>
            <wp:effectExtent l="0" t="0" r="508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8543" cy="2205187"/>
                    </a:xfrm>
                    <a:prstGeom prst="rect">
                      <a:avLst/>
                    </a:prstGeom>
                  </pic:spPr>
                </pic:pic>
              </a:graphicData>
            </a:graphic>
          </wp:inline>
        </w:drawing>
      </w:r>
    </w:p>
    <w:p w14:paraId="2367BA47" w14:textId="00DB1446" w:rsidR="007D1675" w:rsidRDefault="007D1675" w:rsidP="007D1675">
      <w:pPr>
        <w:pStyle w:val="Bildetekst"/>
        <w:jc w:val="both"/>
        <w:rPr>
          <w:sz w:val="24"/>
          <w:szCs w:val="24"/>
        </w:rPr>
      </w:pPr>
      <w:r>
        <w:t xml:space="preserve">Figure </w:t>
      </w:r>
      <w:r w:rsidR="00F84D09">
        <w:fldChar w:fldCharType="begin"/>
      </w:r>
      <w:r w:rsidR="00F84D09">
        <w:instrText xml:space="preserve"> SEQ Figure \* ARABIC </w:instrText>
      </w:r>
      <w:r w:rsidR="00F84D09">
        <w:fldChar w:fldCharType="separate"/>
      </w:r>
      <w:r w:rsidR="0026666E">
        <w:rPr>
          <w:noProof/>
        </w:rPr>
        <w:t>2</w:t>
      </w:r>
      <w:r w:rsidR="00F84D09">
        <w:rPr>
          <w:noProof/>
        </w:rPr>
        <w:fldChar w:fldCharType="end"/>
      </w:r>
      <w:r>
        <w:t>. This figure shows one day’s menu of the CD-TREAT diet of one of the participants. The participant was a 15-year-old boy weighing 48 kg and 170 cm. The participant had histopathologically confirmed Crohn disease.</w:t>
      </w:r>
    </w:p>
    <w:p w14:paraId="11B267F9" w14:textId="531D3905" w:rsidR="00EE299B" w:rsidRDefault="00B11D2E" w:rsidP="00946A23">
      <w:pPr>
        <w:spacing w:line="360" w:lineRule="auto"/>
        <w:jc w:val="both"/>
        <w:rPr>
          <w:sz w:val="24"/>
          <w:szCs w:val="24"/>
        </w:rPr>
      </w:pPr>
      <w:r>
        <w:rPr>
          <w:sz w:val="24"/>
          <w:szCs w:val="24"/>
        </w:rPr>
        <w:t xml:space="preserve">The CD-TREAT diet is more permissive than the Crohn disease exclusion diet (CDED). </w:t>
      </w:r>
      <w:r w:rsidR="00EE299B">
        <w:rPr>
          <w:sz w:val="24"/>
          <w:szCs w:val="24"/>
        </w:rPr>
        <w:t xml:space="preserve">In contrast to the </w:t>
      </w:r>
      <w:r>
        <w:rPr>
          <w:sz w:val="24"/>
          <w:szCs w:val="24"/>
        </w:rPr>
        <w:t xml:space="preserve">CDED, </w:t>
      </w:r>
      <w:r w:rsidR="00EE299B">
        <w:rPr>
          <w:sz w:val="24"/>
          <w:szCs w:val="24"/>
        </w:rPr>
        <w:t xml:space="preserve">the CD-TREAT diet allows multiple food products, </w:t>
      </w:r>
      <w:r w:rsidR="004B1B31">
        <w:rPr>
          <w:sz w:val="24"/>
          <w:szCs w:val="24"/>
        </w:rPr>
        <w:t>most notably</w:t>
      </w:r>
      <w:r w:rsidR="00EE299B">
        <w:rPr>
          <w:sz w:val="24"/>
          <w:szCs w:val="24"/>
        </w:rPr>
        <w:t xml:space="preserve"> lactose-free dietary products, certain cereals</w:t>
      </w:r>
      <w:r w:rsidR="00305AE9">
        <w:rPr>
          <w:sz w:val="24"/>
          <w:szCs w:val="24"/>
        </w:rPr>
        <w:t>, and</w:t>
      </w:r>
      <w:r w:rsidR="00EE299B">
        <w:rPr>
          <w:sz w:val="24"/>
          <w:szCs w:val="24"/>
        </w:rPr>
        <w:t xml:space="preserve"> fruit </w:t>
      </w:r>
      <w:r w:rsidR="00EE299B" w:rsidRPr="00305AE9">
        <w:rPr>
          <w:sz w:val="24"/>
          <w:szCs w:val="24"/>
        </w:rPr>
        <w:t>juices from multiple types of fruit</w:t>
      </w:r>
      <w:r w:rsidR="00305AE9" w:rsidRPr="00305AE9">
        <w:rPr>
          <w:sz w:val="24"/>
          <w:szCs w:val="24"/>
        </w:rPr>
        <w:t>.</w:t>
      </w:r>
    </w:p>
    <w:p w14:paraId="00A3AEB5" w14:textId="11CE3514" w:rsidR="00AB5EF3" w:rsidRDefault="00946A23" w:rsidP="00946A23">
      <w:pPr>
        <w:spacing w:line="360" w:lineRule="auto"/>
        <w:jc w:val="both"/>
        <w:rPr>
          <w:sz w:val="24"/>
          <w:szCs w:val="24"/>
        </w:rPr>
      </w:pPr>
      <w:r>
        <w:rPr>
          <w:sz w:val="24"/>
          <w:szCs w:val="24"/>
        </w:rPr>
        <w:t xml:space="preserve">The </w:t>
      </w:r>
      <w:r w:rsidR="00BD4DC0">
        <w:rPr>
          <w:sz w:val="24"/>
          <w:szCs w:val="24"/>
        </w:rPr>
        <w:t xml:space="preserve">CD-TREAT </w:t>
      </w:r>
      <w:r>
        <w:rPr>
          <w:sz w:val="24"/>
          <w:szCs w:val="24"/>
        </w:rPr>
        <w:t xml:space="preserve">study had three parts. </w:t>
      </w:r>
      <w:r w:rsidR="00163408">
        <w:rPr>
          <w:sz w:val="24"/>
          <w:szCs w:val="24"/>
        </w:rPr>
        <w:t xml:space="preserve">The first part involved an RCT in healthy volunteers, where the participants were randomised into receiving either CD-TREAT diet or EEN for one week, followed by two weeks of habitual diet, followed by the opposite intervention (participants initially on EEN were prescribed CD-TREAT diet and vice versa). Before, during, and after these dietary changes, stool samples were taken and examined. </w:t>
      </w:r>
      <w:r w:rsidR="00A20F26">
        <w:rPr>
          <w:sz w:val="24"/>
          <w:szCs w:val="24"/>
        </w:rPr>
        <w:t>Multi-omics methodology was employed to interrogate changes in microbiome and metabolic signatures before and after the dietary interventions.</w:t>
      </w:r>
      <w:r w:rsidR="00153FDD">
        <w:rPr>
          <w:sz w:val="24"/>
          <w:szCs w:val="24"/>
        </w:rPr>
        <w:t xml:space="preserve"> </w:t>
      </w:r>
    </w:p>
    <w:p w14:paraId="38E917C5" w14:textId="112782C7" w:rsidR="00AB5EF3" w:rsidRDefault="00AB5EF3" w:rsidP="00946A23">
      <w:pPr>
        <w:spacing w:line="360" w:lineRule="auto"/>
        <w:jc w:val="both"/>
        <w:rPr>
          <w:sz w:val="24"/>
          <w:szCs w:val="24"/>
        </w:rPr>
      </w:pPr>
      <w:r>
        <w:rPr>
          <w:sz w:val="24"/>
          <w:szCs w:val="24"/>
        </w:rPr>
        <w:t>The healthy volunteers found CD-TREAT to be easier to follow and more satiating than EEN. Gastrointestinal symptoms were uncommon for both diets, but abdominal pain and diarrhoea were more common for EEN than for CD-TREAT.</w:t>
      </w:r>
      <w:r w:rsidR="00E83035">
        <w:rPr>
          <w:sz w:val="24"/>
          <w:szCs w:val="24"/>
        </w:rPr>
        <w:t xml:space="preserve"> T</w:t>
      </w:r>
      <w:r w:rsidR="00E83035" w:rsidRPr="00E83035">
        <w:rPr>
          <w:sz w:val="24"/>
          <w:szCs w:val="24"/>
        </w:rPr>
        <w:t xml:space="preserve">he microbiome composition, faecal pH, SCFA, total sulphide, faecal bacterial load, and faecal metabolome significantly changed in the same direction for the 2 diets with many </w:t>
      </w:r>
      <w:r w:rsidR="00E83035" w:rsidRPr="00E83035">
        <w:rPr>
          <w:sz w:val="24"/>
          <w:szCs w:val="24"/>
        </w:rPr>
        <w:lastRenderedPageBreak/>
        <w:t>parallel changes in specific metabolites and species.</w:t>
      </w:r>
      <w:r w:rsidR="00E83035">
        <w:rPr>
          <w:sz w:val="24"/>
          <w:szCs w:val="24"/>
        </w:rPr>
        <w:t xml:space="preserve"> We can therefore suspect that the two dietary interventions produce similar changes in the GI tract. However, s</w:t>
      </w:r>
      <w:r w:rsidR="00E83035" w:rsidRPr="00E83035">
        <w:rPr>
          <w:sz w:val="24"/>
          <w:szCs w:val="24"/>
        </w:rPr>
        <w:t>ome effects seen in the present study have been previously associated with gut dysbiosis or an “unhealthy” microbiome, but paradoxically associated with decreased disease activity and amelioration of colonic inflammation in children with active CD on EEN.</w:t>
      </w:r>
      <w:r w:rsidR="00E83035">
        <w:rPr>
          <w:sz w:val="24"/>
          <w:szCs w:val="24"/>
        </w:rPr>
        <w:t xml:space="preserve"> This is a paradox which </w:t>
      </w:r>
      <w:r w:rsidR="007F435B">
        <w:rPr>
          <w:sz w:val="24"/>
          <w:szCs w:val="24"/>
        </w:rPr>
        <w:t>raises questions regarding our understanding of what a “healthy” microbiome is, as well as questions regarding the mechanism of action of EEN and the pathophysiology of CD.</w:t>
      </w:r>
    </w:p>
    <w:p w14:paraId="4A0C0CA5" w14:textId="6B2BE2EF" w:rsidR="00B61FF7" w:rsidRDefault="00941CF6" w:rsidP="00946A23">
      <w:pPr>
        <w:spacing w:line="360" w:lineRule="auto"/>
        <w:jc w:val="both"/>
        <w:rPr>
          <w:sz w:val="24"/>
          <w:szCs w:val="24"/>
        </w:rPr>
      </w:pPr>
      <w:r>
        <w:rPr>
          <w:sz w:val="24"/>
          <w:szCs w:val="24"/>
        </w:rPr>
        <w:t xml:space="preserve">The second part involved an open-label trial of </w:t>
      </w:r>
      <w:r w:rsidR="00044BAD">
        <w:rPr>
          <w:sz w:val="24"/>
          <w:szCs w:val="24"/>
        </w:rPr>
        <w:t xml:space="preserve">8 weeks </w:t>
      </w:r>
      <w:r>
        <w:rPr>
          <w:sz w:val="24"/>
          <w:szCs w:val="24"/>
        </w:rPr>
        <w:t xml:space="preserve">CD-TREAT with five participants (children with mild to moderate active luminal Crohn disease). </w:t>
      </w:r>
      <w:r w:rsidR="00044BAD">
        <w:rPr>
          <w:sz w:val="24"/>
          <w:szCs w:val="24"/>
        </w:rPr>
        <w:t>One of the participants discontinued CD-TREAT after 9 days because of symptom exacerbation. At the end of 8 weeks of treatment, 4/5 participants responded clinically while 3/5 participants reached clinical remission. Baseline faecal calprotectin decreased significantly by 55% after 8 weeks. Interestingly, a reduction was seen in faecal calprotectin in the participant who discontinued CD-TREAT as well (from 2026 mg/kg at baseline to 1072 mg/kg at 9 days).</w:t>
      </w:r>
    </w:p>
    <w:p w14:paraId="0DADCE8F" w14:textId="7950415D" w:rsidR="00BE5920" w:rsidRDefault="00BE5920" w:rsidP="00946A23">
      <w:pPr>
        <w:spacing w:line="360" w:lineRule="auto"/>
        <w:jc w:val="both"/>
        <w:rPr>
          <w:sz w:val="24"/>
          <w:szCs w:val="24"/>
        </w:rPr>
      </w:pPr>
      <w:r>
        <w:rPr>
          <w:sz w:val="24"/>
          <w:szCs w:val="24"/>
        </w:rPr>
        <w:t xml:space="preserve">The third part of the study involved animal experiments comparing EEN, CD-TREAT, and control groups in </w:t>
      </w:r>
      <w:r w:rsidR="00DD4FD3">
        <w:rPr>
          <w:sz w:val="24"/>
          <w:szCs w:val="24"/>
        </w:rPr>
        <w:t xml:space="preserve">rat models of </w:t>
      </w:r>
      <w:r>
        <w:rPr>
          <w:sz w:val="24"/>
          <w:szCs w:val="24"/>
        </w:rPr>
        <w:t>gastrointestinal inflammation</w:t>
      </w:r>
      <w:r w:rsidR="00DD4FD3">
        <w:rPr>
          <w:sz w:val="24"/>
          <w:szCs w:val="24"/>
        </w:rPr>
        <w:t xml:space="preserve"> strongly associated with microbial dysbiosis</w:t>
      </w:r>
      <w:r>
        <w:rPr>
          <w:sz w:val="24"/>
          <w:szCs w:val="24"/>
        </w:rPr>
        <w:t xml:space="preserve">. </w:t>
      </w:r>
      <w:r w:rsidR="000F7A69">
        <w:rPr>
          <w:sz w:val="24"/>
          <w:szCs w:val="24"/>
        </w:rPr>
        <w:t xml:space="preserve">Attenuation of ileitis histopathology scores and decreased expression of pro-inflammatory cytokines </w:t>
      </w:r>
      <w:r w:rsidR="00A1256F">
        <w:rPr>
          <w:sz w:val="24"/>
          <w:szCs w:val="24"/>
        </w:rPr>
        <w:t>interleukin 6 (</w:t>
      </w:r>
      <w:r w:rsidR="000F7A69">
        <w:rPr>
          <w:sz w:val="24"/>
          <w:szCs w:val="24"/>
        </w:rPr>
        <w:t>IL-6</w:t>
      </w:r>
      <w:r w:rsidR="00A1256F">
        <w:rPr>
          <w:sz w:val="24"/>
          <w:szCs w:val="24"/>
        </w:rPr>
        <w:t>)</w:t>
      </w:r>
      <w:r w:rsidR="000F7A69">
        <w:rPr>
          <w:sz w:val="24"/>
          <w:szCs w:val="24"/>
        </w:rPr>
        <w:t xml:space="preserve"> and </w:t>
      </w:r>
      <w:r w:rsidR="00F068EF">
        <w:rPr>
          <w:sz w:val="24"/>
          <w:szCs w:val="24"/>
        </w:rPr>
        <w:t xml:space="preserve">chemokine </w:t>
      </w:r>
      <w:r w:rsidR="00123544">
        <w:rPr>
          <w:sz w:val="24"/>
          <w:szCs w:val="24"/>
        </w:rPr>
        <w:t>[</w:t>
      </w:r>
      <w:r w:rsidR="00F068EF">
        <w:rPr>
          <w:sz w:val="24"/>
          <w:szCs w:val="24"/>
        </w:rPr>
        <w:t>C-X-C motif</w:t>
      </w:r>
      <w:r w:rsidR="00123544">
        <w:rPr>
          <w:sz w:val="24"/>
          <w:szCs w:val="24"/>
        </w:rPr>
        <w:t>]</w:t>
      </w:r>
      <w:r w:rsidR="00F068EF">
        <w:rPr>
          <w:sz w:val="24"/>
          <w:szCs w:val="24"/>
        </w:rPr>
        <w:t xml:space="preserve"> ligand 1 (</w:t>
      </w:r>
      <w:r w:rsidR="000F7A69">
        <w:rPr>
          <w:sz w:val="24"/>
          <w:szCs w:val="24"/>
        </w:rPr>
        <w:t>CXCL-1</w:t>
      </w:r>
      <w:r w:rsidR="00F068EF">
        <w:rPr>
          <w:sz w:val="24"/>
          <w:szCs w:val="24"/>
        </w:rPr>
        <w:t>)</w:t>
      </w:r>
      <w:r w:rsidR="00DD4FD3">
        <w:rPr>
          <w:sz w:val="24"/>
          <w:szCs w:val="24"/>
        </w:rPr>
        <w:t xml:space="preserve"> in the CD-TREAT-treated animals indicate </w:t>
      </w:r>
      <w:r w:rsidR="00D342DE">
        <w:rPr>
          <w:sz w:val="24"/>
          <w:szCs w:val="24"/>
        </w:rPr>
        <w:t>that CD-TREAT can deliver therapeutic benefit in a disease state strongly associated with microbial dysbiosis, a description which fits Crohn disease in humans.</w:t>
      </w:r>
    </w:p>
    <w:p w14:paraId="4DB3305B" w14:textId="0028B048" w:rsidR="003F08CA" w:rsidRPr="00DF3043" w:rsidRDefault="006D3717" w:rsidP="003F08CA">
      <w:pPr>
        <w:spacing w:line="360" w:lineRule="auto"/>
        <w:jc w:val="both"/>
        <w:rPr>
          <w:sz w:val="24"/>
          <w:szCs w:val="24"/>
        </w:rPr>
      </w:pPr>
      <w:r>
        <w:rPr>
          <w:sz w:val="24"/>
          <w:szCs w:val="24"/>
        </w:rPr>
        <w:t>Overall</w:t>
      </w:r>
      <w:r w:rsidR="0028466E">
        <w:rPr>
          <w:sz w:val="24"/>
          <w:szCs w:val="24"/>
        </w:rPr>
        <w:t>, t</w:t>
      </w:r>
      <w:r w:rsidR="00946A23">
        <w:rPr>
          <w:sz w:val="24"/>
          <w:szCs w:val="24"/>
        </w:rPr>
        <w:t xml:space="preserve">his randomised controlled trial study found the </w:t>
      </w:r>
      <w:r>
        <w:rPr>
          <w:sz w:val="24"/>
          <w:szCs w:val="24"/>
        </w:rPr>
        <w:t xml:space="preserve">CD-TREAT </w:t>
      </w:r>
      <w:r w:rsidR="00946A23">
        <w:rPr>
          <w:sz w:val="24"/>
          <w:szCs w:val="24"/>
        </w:rPr>
        <w:t>diet to be more tolerable and yielding fewer gastrointestinal side effects than EEN, while also inducing a significant clinical response in children with active CD</w:t>
      </w:r>
      <w:r>
        <w:rPr>
          <w:sz w:val="24"/>
          <w:szCs w:val="24"/>
        </w:rPr>
        <w:t xml:space="preserve"> as well as changes in healthy adults and rat models which indicate a therapeutic possibility.</w:t>
      </w:r>
      <w:r w:rsidR="003F08CA" w:rsidRPr="003F08CA">
        <w:rPr>
          <w:sz w:val="24"/>
          <w:szCs w:val="24"/>
        </w:rPr>
        <w:t xml:space="preserve"> </w:t>
      </w:r>
      <w:r w:rsidR="003F08CA">
        <w:rPr>
          <w:sz w:val="24"/>
          <w:szCs w:val="24"/>
        </w:rPr>
        <w:t xml:space="preserve">At the time </w:t>
      </w:r>
      <w:r w:rsidR="003F08CA">
        <w:rPr>
          <w:sz w:val="24"/>
          <w:szCs w:val="24"/>
        </w:rPr>
        <w:lastRenderedPageBreak/>
        <w:t>of writing, further clinical trials aiming to study this diet are underway (</w:t>
      </w:r>
      <w:r w:rsidR="003F08CA" w:rsidRPr="004D3428">
        <w:rPr>
          <w:sz w:val="24"/>
          <w:szCs w:val="24"/>
        </w:rPr>
        <w:t>ClinicalTrials.gov Identifier: NCT04225689</w:t>
      </w:r>
      <w:r w:rsidR="003F08CA">
        <w:rPr>
          <w:sz w:val="24"/>
          <w:szCs w:val="24"/>
        </w:rPr>
        <w:t>).</w:t>
      </w:r>
    </w:p>
    <w:p w14:paraId="6A630AE9" w14:textId="0DCAF762" w:rsidR="006C5F36" w:rsidRDefault="006C351C" w:rsidP="00704D76">
      <w:pPr>
        <w:pStyle w:val="Overskrift3"/>
        <w:jc w:val="both"/>
      </w:pPr>
      <w:bookmarkStart w:id="19" w:name="_Toc93326815"/>
      <w:r>
        <w:t>7</w:t>
      </w:r>
      <w:r w:rsidR="006C5F36">
        <w:t xml:space="preserve">. </w:t>
      </w:r>
      <w:r w:rsidR="006D25DB">
        <w:t>Discussion</w:t>
      </w:r>
      <w:bookmarkEnd w:id="19"/>
    </w:p>
    <w:p w14:paraId="2F96FC93" w14:textId="3DF7789B" w:rsidR="00EC1D70" w:rsidRPr="00A4557D" w:rsidRDefault="00D60634" w:rsidP="002E588B">
      <w:pPr>
        <w:spacing w:line="360" w:lineRule="auto"/>
        <w:jc w:val="both"/>
        <w:rPr>
          <w:sz w:val="24"/>
          <w:szCs w:val="24"/>
        </w:rPr>
      </w:pPr>
      <w:r>
        <w:rPr>
          <w:sz w:val="24"/>
          <w:szCs w:val="24"/>
        </w:rPr>
        <w:t xml:space="preserve">Multiple factors point to the diet playing a major role in Crohn disease. </w:t>
      </w:r>
      <w:r w:rsidR="00F84A33">
        <w:rPr>
          <w:sz w:val="24"/>
          <w:szCs w:val="24"/>
        </w:rPr>
        <w:t>As an example,</w:t>
      </w:r>
      <w:r>
        <w:rPr>
          <w:sz w:val="24"/>
          <w:szCs w:val="24"/>
        </w:rPr>
        <w:t xml:space="preserve"> temporary faecal diversion improves </w:t>
      </w:r>
      <w:r w:rsidR="00E151CB">
        <w:rPr>
          <w:sz w:val="24"/>
          <w:szCs w:val="24"/>
        </w:rPr>
        <w:t xml:space="preserve">gastrointestinal </w:t>
      </w:r>
      <w:r>
        <w:rPr>
          <w:sz w:val="24"/>
          <w:szCs w:val="24"/>
        </w:rPr>
        <w:t xml:space="preserve">inflammation in Crohn disease, and inflammation and recurrence downstream of the diversion recurs </w:t>
      </w:r>
      <w:r w:rsidR="007A26C1">
        <w:rPr>
          <w:sz w:val="24"/>
          <w:szCs w:val="24"/>
        </w:rPr>
        <w:t xml:space="preserve">only </w:t>
      </w:r>
      <w:r>
        <w:rPr>
          <w:sz w:val="24"/>
          <w:szCs w:val="24"/>
        </w:rPr>
        <w:t>after re-anastomosis</w:t>
      </w:r>
      <w:r w:rsidR="007A26C1">
        <w:rPr>
          <w:sz w:val="24"/>
          <w:szCs w:val="24"/>
        </w:rPr>
        <w:t>, and not before</w:t>
      </w:r>
      <w:r>
        <w:rPr>
          <w:sz w:val="24"/>
          <w:szCs w:val="24"/>
        </w:rPr>
        <w:t xml:space="preserve">. </w:t>
      </w:r>
      <w:r w:rsidR="00896856">
        <w:rPr>
          <w:sz w:val="24"/>
          <w:szCs w:val="24"/>
        </w:rPr>
        <w:t xml:space="preserve">Currently, the only dietary intervention which is widely used </w:t>
      </w:r>
      <w:r w:rsidR="002C38F0">
        <w:rPr>
          <w:sz w:val="24"/>
          <w:szCs w:val="24"/>
        </w:rPr>
        <w:t xml:space="preserve">in the management of Crohn disease </w:t>
      </w:r>
      <w:r w:rsidR="00896856">
        <w:rPr>
          <w:sz w:val="24"/>
          <w:szCs w:val="24"/>
        </w:rPr>
        <w:t>and has documentation regarding its efficacy is e</w:t>
      </w:r>
      <w:r w:rsidR="00F750CA">
        <w:rPr>
          <w:sz w:val="24"/>
          <w:szCs w:val="24"/>
        </w:rPr>
        <w:t>xclusive enteral nutrition (EEN)</w:t>
      </w:r>
      <w:r w:rsidR="00896856">
        <w:rPr>
          <w:sz w:val="24"/>
          <w:szCs w:val="24"/>
        </w:rPr>
        <w:t>. EEN</w:t>
      </w:r>
      <w:r w:rsidR="00F750CA">
        <w:rPr>
          <w:sz w:val="24"/>
          <w:szCs w:val="24"/>
        </w:rPr>
        <w:t xml:space="preserve"> is effective in inducing remission in childhood CD. </w:t>
      </w:r>
      <w:r w:rsidR="00EB3BF1">
        <w:rPr>
          <w:sz w:val="24"/>
          <w:szCs w:val="24"/>
        </w:rPr>
        <w:t xml:space="preserve">However, it is difficult to adhere to, </w:t>
      </w:r>
      <w:r w:rsidR="00C867E1">
        <w:rPr>
          <w:sz w:val="24"/>
          <w:szCs w:val="24"/>
        </w:rPr>
        <w:t>removing it as a</w:t>
      </w:r>
      <w:r w:rsidR="00B93D21">
        <w:rPr>
          <w:sz w:val="24"/>
          <w:szCs w:val="24"/>
        </w:rPr>
        <w:t xml:space="preserve"> treatment </w:t>
      </w:r>
      <w:r w:rsidR="00C867E1">
        <w:rPr>
          <w:sz w:val="24"/>
          <w:szCs w:val="24"/>
        </w:rPr>
        <w:t xml:space="preserve">option </w:t>
      </w:r>
      <w:r w:rsidR="00EB3BF1">
        <w:rPr>
          <w:sz w:val="24"/>
          <w:szCs w:val="24"/>
        </w:rPr>
        <w:t>for most adults. It’s also unsuitable for long-term treatment</w:t>
      </w:r>
      <w:r w:rsidR="00E1196B">
        <w:rPr>
          <w:sz w:val="24"/>
          <w:szCs w:val="24"/>
        </w:rPr>
        <w:t xml:space="preserve"> to maintain remission</w:t>
      </w:r>
      <w:r w:rsidR="00EB3BF1">
        <w:rPr>
          <w:sz w:val="24"/>
          <w:szCs w:val="24"/>
        </w:rPr>
        <w:t xml:space="preserve">. </w:t>
      </w:r>
      <w:r w:rsidR="00E971FD">
        <w:rPr>
          <w:sz w:val="24"/>
          <w:szCs w:val="24"/>
        </w:rPr>
        <w:t>However, the efficacy of EEN</w:t>
      </w:r>
      <w:r w:rsidR="00E46F2B">
        <w:rPr>
          <w:sz w:val="24"/>
          <w:szCs w:val="24"/>
        </w:rPr>
        <w:t xml:space="preserve"> indicates that there should exist</w:t>
      </w:r>
      <w:r w:rsidR="00FC5F61">
        <w:rPr>
          <w:sz w:val="24"/>
          <w:szCs w:val="24"/>
        </w:rPr>
        <w:t xml:space="preserve"> dietary interventions</w:t>
      </w:r>
      <w:r w:rsidR="00E46F2B">
        <w:rPr>
          <w:sz w:val="24"/>
          <w:szCs w:val="24"/>
        </w:rPr>
        <w:t xml:space="preserve"> which may</w:t>
      </w:r>
      <w:r w:rsidR="00FC5F61">
        <w:rPr>
          <w:sz w:val="24"/>
          <w:szCs w:val="24"/>
        </w:rPr>
        <w:t xml:space="preserve"> be useful in the management of CD</w:t>
      </w:r>
      <w:r w:rsidR="00C779D7">
        <w:rPr>
          <w:sz w:val="24"/>
          <w:szCs w:val="24"/>
        </w:rPr>
        <w:t>,</w:t>
      </w:r>
      <w:r w:rsidR="00937AB4">
        <w:rPr>
          <w:sz w:val="24"/>
          <w:szCs w:val="24"/>
        </w:rPr>
        <w:t xml:space="preserve"> and which </w:t>
      </w:r>
      <w:r w:rsidR="00554191">
        <w:rPr>
          <w:sz w:val="24"/>
          <w:szCs w:val="24"/>
        </w:rPr>
        <w:t xml:space="preserve">are based on </w:t>
      </w:r>
      <w:r w:rsidR="00937AB4">
        <w:rPr>
          <w:sz w:val="24"/>
          <w:szCs w:val="24"/>
        </w:rPr>
        <w:t>regular foods rather than food formula</w:t>
      </w:r>
      <w:r w:rsidR="00554191">
        <w:rPr>
          <w:sz w:val="24"/>
          <w:szCs w:val="24"/>
        </w:rPr>
        <w:t>, making them more palatable</w:t>
      </w:r>
      <w:r w:rsidR="00FC5F61">
        <w:rPr>
          <w:sz w:val="24"/>
          <w:szCs w:val="24"/>
        </w:rPr>
        <w:t xml:space="preserve">. </w:t>
      </w:r>
      <w:r w:rsidR="00C779D7">
        <w:rPr>
          <w:sz w:val="24"/>
          <w:szCs w:val="24"/>
        </w:rPr>
        <w:t>Such dietary interventions hold more promise for long-term treatment</w:t>
      </w:r>
      <w:r w:rsidR="00F229CE">
        <w:rPr>
          <w:sz w:val="24"/>
          <w:szCs w:val="24"/>
        </w:rPr>
        <w:t>, which may help in maintaining remission</w:t>
      </w:r>
      <w:r w:rsidR="00C779D7">
        <w:rPr>
          <w:sz w:val="24"/>
          <w:szCs w:val="24"/>
        </w:rPr>
        <w:t>.</w:t>
      </w:r>
    </w:p>
    <w:p w14:paraId="1505BE07" w14:textId="0F58B33E" w:rsidR="008C5922" w:rsidRDefault="00030870" w:rsidP="002E588B">
      <w:pPr>
        <w:spacing w:line="360" w:lineRule="auto"/>
        <w:jc w:val="both"/>
        <w:rPr>
          <w:sz w:val="24"/>
          <w:szCs w:val="24"/>
        </w:rPr>
      </w:pPr>
      <w:r>
        <w:rPr>
          <w:sz w:val="24"/>
          <w:szCs w:val="24"/>
        </w:rPr>
        <w:t xml:space="preserve">It is thought that dysbiosis contributes to the inflammatory activity of CD, either directly or indirectly, but studies have shown that currently established pharmacological treatments may not eliminate dysbiosis. </w:t>
      </w:r>
      <w:r w:rsidR="008C5922">
        <w:rPr>
          <w:sz w:val="24"/>
          <w:szCs w:val="24"/>
        </w:rPr>
        <w:t xml:space="preserve">Theoretical evidence, animal experiments, and rudimentary human experiments suggest that modulation of inflammatory activity in Crohn disease with dietary interventions </w:t>
      </w:r>
      <w:r w:rsidR="0066122A">
        <w:rPr>
          <w:sz w:val="24"/>
          <w:szCs w:val="24"/>
        </w:rPr>
        <w:t xml:space="preserve">(like EEN) </w:t>
      </w:r>
      <w:r w:rsidR="008C5922">
        <w:rPr>
          <w:sz w:val="24"/>
          <w:szCs w:val="24"/>
        </w:rPr>
        <w:t>may occur partially or wholly through inducing alterations of the gastrointestinal microbiome. Indeed, multiple studies have shown that changes in the microbiome follow changes in diet.</w:t>
      </w:r>
      <w:r w:rsidR="00BE11A0">
        <w:rPr>
          <w:sz w:val="24"/>
          <w:szCs w:val="24"/>
        </w:rPr>
        <w:t xml:space="preserve"> However, it is difficult to quantify changes in the microbiome, due to the vast variety in bacterial florae and the significant interindividual variation.</w:t>
      </w:r>
      <w:r w:rsidR="004D55E7">
        <w:rPr>
          <w:sz w:val="24"/>
          <w:szCs w:val="24"/>
        </w:rPr>
        <w:t xml:space="preserve"> </w:t>
      </w:r>
      <w:r w:rsidR="00BF1074">
        <w:rPr>
          <w:sz w:val="24"/>
          <w:szCs w:val="24"/>
        </w:rPr>
        <w:t>It has also proven difficult to predict</w:t>
      </w:r>
      <w:r w:rsidR="00723930">
        <w:rPr>
          <w:sz w:val="24"/>
          <w:szCs w:val="24"/>
        </w:rPr>
        <w:t xml:space="preserve"> which changes to the microbiome are beneficial and which</w:t>
      </w:r>
      <w:r w:rsidR="00BF1074">
        <w:rPr>
          <w:sz w:val="24"/>
          <w:szCs w:val="24"/>
        </w:rPr>
        <w:t xml:space="preserve"> aren’t</w:t>
      </w:r>
      <w:r w:rsidR="00723930">
        <w:rPr>
          <w:sz w:val="24"/>
          <w:szCs w:val="24"/>
        </w:rPr>
        <w:t>, as results sometimes contradict each other.</w:t>
      </w:r>
    </w:p>
    <w:p w14:paraId="79F38543" w14:textId="2E751062" w:rsidR="00050EE4" w:rsidRDefault="00050EE4" w:rsidP="001A66AC">
      <w:pPr>
        <w:spacing w:line="360" w:lineRule="auto"/>
        <w:rPr>
          <w:sz w:val="24"/>
          <w:szCs w:val="24"/>
        </w:rPr>
      </w:pPr>
      <w:r>
        <w:rPr>
          <w:sz w:val="24"/>
          <w:szCs w:val="24"/>
        </w:rPr>
        <w:lastRenderedPageBreak/>
        <w:t xml:space="preserve">The mechanism of action of EEN is not well known. It is not known whether the mechanism involves exclusion of certain dietary components, increased intake of certain dietary components, </w:t>
      </w:r>
      <w:r w:rsidR="00D4492A">
        <w:rPr>
          <w:sz w:val="24"/>
          <w:szCs w:val="24"/>
        </w:rPr>
        <w:t>some other mechanism, or a combination of these</w:t>
      </w:r>
      <w:r>
        <w:rPr>
          <w:sz w:val="24"/>
          <w:szCs w:val="24"/>
        </w:rPr>
        <w:t xml:space="preserve">. </w:t>
      </w:r>
      <w:r w:rsidR="00861E2D">
        <w:rPr>
          <w:sz w:val="24"/>
          <w:szCs w:val="24"/>
        </w:rPr>
        <w:t>It has been theorised that exclusion of certain dietary factors may affect intestinal permeability, enhance translocation or adherence of bacteria to epithelium, or promote a proinflammatory microbiome.</w:t>
      </w:r>
    </w:p>
    <w:p w14:paraId="08126997" w14:textId="2769DCA5" w:rsidR="00071107" w:rsidRDefault="008E0021" w:rsidP="00470970">
      <w:pPr>
        <w:spacing w:line="360" w:lineRule="auto"/>
        <w:jc w:val="both"/>
        <w:rPr>
          <w:sz w:val="24"/>
          <w:szCs w:val="24"/>
        </w:rPr>
      </w:pPr>
      <w:r>
        <w:rPr>
          <w:sz w:val="24"/>
          <w:szCs w:val="24"/>
        </w:rPr>
        <w:t>As presented in this paper, exclusive enteral nutrition is efficacious</w:t>
      </w:r>
      <w:r w:rsidR="007D4995">
        <w:rPr>
          <w:sz w:val="24"/>
          <w:szCs w:val="24"/>
        </w:rPr>
        <w:t xml:space="preserve"> in inducing remission and clinical response</w:t>
      </w:r>
      <w:r>
        <w:rPr>
          <w:sz w:val="24"/>
          <w:szCs w:val="24"/>
        </w:rPr>
        <w:t xml:space="preserve">, as is partial enteral nutrition combined with a Crohn disease exclusion diet (CDED), whereas partial enteral nutrition alone is not efficacious. The CD-TREAT diet, which excludes certain food components like lactose, gluten, and alcohol, also shows promise. </w:t>
      </w:r>
      <w:r w:rsidR="00EC63C6">
        <w:rPr>
          <w:sz w:val="24"/>
          <w:szCs w:val="24"/>
        </w:rPr>
        <w:t xml:space="preserve">Increased dietary fibre intake does not appear to be helpful. </w:t>
      </w:r>
      <w:r w:rsidR="00470970">
        <w:rPr>
          <w:sz w:val="24"/>
          <w:szCs w:val="24"/>
        </w:rPr>
        <w:t>The</w:t>
      </w:r>
      <w:r>
        <w:rPr>
          <w:sz w:val="24"/>
          <w:szCs w:val="24"/>
        </w:rPr>
        <w:t>se</w:t>
      </w:r>
      <w:r w:rsidR="00470970">
        <w:rPr>
          <w:sz w:val="24"/>
          <w:szCs w:val="24"/>
        </w:rPr>
        <w:t xml:space="preserve"> findings sugges</w:t>
      </w:r>
      <w:r>
        <w:rPr>
          <w:sz w:val="24"/>
          <w:szCs w:val="24"/>
        </w:rPr>
        <w:t>t</w:t>
      </w:r>
      <w:r w:rsidR="00470970">
        <w:rPr>
          <w:sz w:val="24"/>
          <w:szCs w:val="24"/>
        </w:rPr>
        <w:t xml:space="preserve"> that </w:t>
      </w:r>
      <w:r w:rsidR="009A12C2">
        <w:rPr>
          <w:sz w:val="24"/>
          <w:szCs w:val="24"/>
        </w:rPr>
        <w:t>there are some dietary triggers which may influence gastrointestinal inflammation</w:t>
      </w:r>
      <w:r w:rsidR="00B576BA">
        <w:rPr>
          <w:sz w:val="24"/>
          <w:szCs w:val="24"/>
        </w:rPr>
        <w:t>, and that e</w:t>
      </w:r>
      <w:r w:rsidR="00470970">
        <w:rPr>
          <w:sz w:val="24"/>
          <w:szCs w:val="24"/>
        </w:rPr>
        <w:t xml:space="preserve">limination of some foods or food components </w:t>
      </w:r>
      <w:r>
        <w:rPr>
          <w:sz w:val="24"/>
          <w:szCs w:val="24"/>
        </w:rPr>
        <w:t>is likely an</w:t>
      </w:r>
      <w:r w:rsidR="00470970">
        <w:rPr>
          <w:sz w:val="24"/>
          <w:szCs w:val="24"/>
        </w:rPr>
        <w:t xml:space="preserve"> important</w:t>
      </w:r>
      <w:r>
        <w:rPr>
          <w:sz w:val="24"/>
          <w:szCs w:val="24"/>
        </w:rPr>
        <w:t xml:space="preserve"> factor in the mechanism of action of dietary interventions in CD</w:t>
      </w:r>
      <w:r w:rsidR="00470970">
        <w:rPr>
          <w:sz w:val="24"/>
          <w:szCs w:val="24"/>
        </w:rPr>
        <w:t>.</w:t>
      </w:r>
      <w:r>
        <w:rPr>
          <w:sz w:val="24"/>
          <w:szCs w:val="24"/>
        </w:rPr>
        <w:t xml:space="preserve"> </w:t>
      </w:r>
    </w:p>
    <w:p w14:paraId="5ACBDD92" w14:textId="53AED5CF" w:rsidR="007D4995" w:rsidRDefault="00792EAB" w:rsidP="00D442DD">
      <w:pPr>
        <w:spacing w:line="360" w:lineRule="auto"/>
        <w:jc w:val="both"/>
        <w:rPr>
          <w:sz w:val="24"/>
          <w:szCs w:val="24"/>
        </w:rPr>
      </w:pPr>
      <w:r>
        <w:rPr>
          <w:sz w:val="24"/>
          <w:szCs w:val="24"/>
        </w:rPr>
        <w:t xml:space="preserve">Up until now, research has focused on applying the same or very similar dietary interventions to all participants. </w:t>
      </w:r>
      <w:r w:rsidR="008E0021">
        <w:rPr>
          <w:sz w:val="24"/>
          <w:szCs w:val="24"/>
        </w:rPr>
        <w:t xml:space="preserve">However, dietary triggers may also be related to personal factors, </w:t>
      </w:r>
      <w:r w:rsidR="004A7EF1">
        <w:rPr>
          <w:sz w:val="24"/>
          <w:szCs w:val="24"/>
        </w:rPr>
        <w:t>such as</w:t>
      </w:r>
      <w:r w:rsidR="008E0021">
        <w:rPr>
          <w:sz w:val="24"/>
          <w:szCs w:val="24"/>
        </w:rPr>
        <w:t xml:space="preserve"> genetics </w:t>
      </w:r>
      <w:r w:rsidR="00C272E0">
        <w:rPr>
          <w:sz w:val="24"/>
          <w:szCs w:val="24"/>
        </w:rPr>
        <w:t>or</w:t>
      </w:r>
      <w:r w:rsidR="008E0021">
        <w:rPr>
          <w:sz w:val="24"/>
          <w:szCs w:val="24"/>
        </w:rPr>
        <w:t xml:space="preserve"> other environmental factors. As such, </w:t>
      </w:r>
      <w:r w:rsidR="00CE56CB">
        <w:rPr>
          <w:sz w:val="24"/>
          <w:szCs w:val="24"/>
        </w:rPr>
        <w:t>dietary triggers may be different on a subpopulation or even</w:t>
      </w:r>
      <w:r w:rsidR="00894FAF">
        <w:rPr>
          <w:sz w:val="24"/>
          <w:szCs w:val="24"/>
        </w:rPr>
        <w:t xml:space="preserve"> an</w:t>
      </w:r>
      <w:r w:rsidR="00CE56CB">
        <w:rPr>
          <w:sz w:val="24"/>
          <w:szCs w:val="24"/>
        </w:rPr>
        <w:t xml:space="preserve"> individual level, possibly making </w:t>
      </w:r>
      <w:r w:rsidR="008E0021">
        <w:rPr>
          <w:sz w:val="24"/>
          <w:szCs w:val="24"/>
        </w:rPr>
        <w:t xml:space="preserve">identifying </w:t>
      </w:r>
      <w:r w:rsidR="002375C1">
        <w:rPr>
          <w:sz w:val="24"/>
          <w:szCs w:val="24"/>
        </w:rPr>
        <w:t xml:space="preserve">universal </w:t>
      </w:r>
      <w:r w:rsidR="008E0021">
        <w:rPr>
          <w:sz w:val="24"/>
          <w:szCs w:val="24"/>
        </w:rPr>
        <w:t>dietary triggers for all CD patients impossible.</w:t>
      </w:r>
      <w:r w:rsidR="00071107">
        <w:rPr>
          <w:sz w:val="24"/>
          <w:szCs w:val="24"/>
        </w:rPr>
        <w:t xml:space="preserve"> </w:t>
      </w:r>
      <w:r w:rsidR="00D442DD">
        <w:rPr>
          <w:sz w:val="24"/>
          <w:szCs w:val="24"/>
        </w:rPr>
        <w:t xml:space="preserve">If dietary triggers are individual rather than universal, we might see more of a systematic “try-and-see” approach to diet in Crohn disease patients in the future, where the patients exclude suspected high-risk food components one at a time from their diet and monitor the response. However, this is time-consuming, and monitoring treatment </w:t>
      </w:r>
      <w:r w:rsidR="00781365">
        <w:rPr>
          <w:sz w:val="24"/>
          <w:szCs w:val="24"/>
        </w:rPr>
        <w:t>response is difficult in such cases.</w:t>
      </w:r>
    </w:p>
    <w:p w14:paraId="6A2DC34C" w14:textId="27CDCF22" w:rsidR="00D442DD" w:rsidRPr="00CF532F" w:rsidRDefault="00D442DD" w:rsidP="00D442DD">
      <w:pPr>
        <w:spacing w:line="360" w:lineRule="auto"/>
        <w:jc w:val="both"/>
        <w:rPr>
          <w:sz w:val="24"/>
          <w:szCs w:val="24"/>
        </w:rPr>
      </w:pPr>
      <w:r>
        <w:rPr>
          <w:sz w:val="24"/>
          <w:szCs w:val="24"/>
        </w:rPr>
        <w:t>It is possible that</w:t>
      </w:r>
      <w:r w:rsidR="00EB3D50">
        <w:rPr>
          <w:sz w:val="24"/>
          <w:szCs w:val="24"/>
        </w:rPr>
        <w:t xml:space="preserve">, rather than using </w:t>
      </w:r>
      <w:r w:rsidR="00F50A86">
        <w:rPr>
          <w:sz w:val="24"/>
          <w:szCs w:val="24"/>
        </w:rPr>
        <w:t xml:space="preserve">dietary interventions alone, </w:t>
      </w:r>
      <w:r>
        <w:rPr>
          <w:sz w:val="24"/>
          <w:szCs w:val="24"/>
        </w:rPr>
        <w:t xml:space="preserve">combining pharmacological therapy with dietary interventions which ameliorates or eliminates </w:t>
      </w:r>
      <w:r>
        <w:rPr>
          <w:sz w:val="24"/>
          <w:szCs w:val="24"/>
        </w:rPr>
        <w:lastRenderedPageBreak/>
        <w:t>dysbiosis could improve the efficaciousness of therapy</w:t>
      </w:r>
      <w:r w:rsidR="00071107">
        <w:rPr>
          <w:sz w:val="24"/>
          <w:szCs w:val="24"/>
        </w:rPr>
        <w:t xml:space="preserve"> in an additive or synergistic manner</w:t>
      </w:r>
      <w:r>
        <w:rPr>
          <w:sz w:val="24"/>
          <w:szCs w:val="24"/>
        </w:rPr>
        <w:t xml:space="preserve">, reduce the </w:t>
      </w:r>
      <w:r w:rsidR="00C63BD6">
        <w:rPr>
          <w:sz w:val="24"/>
          <w:szCs w:val="24"/>
        </w:rPr>
        <w:t>number</w:t>
      </w:r>
      <w:r>
        <w:rPr>
          <w:sz w:val="24"/>
          <w:szCs w:val="24"/>
        </w:rPr>
        <w:t xml:space="preserve"> of medications necessary</w:t>
      </w:r>
      <w:r w:rsidR="00836B7F">
        <w:rPr>
          <w:sz w:val="24"/>
          <w:szCs w:val="24"/>
        </w:rPr>
        <w:t xml:space="preserve"> and therefore the side effect burden</w:t>
      </w:r>
      <w:r>
        <w:rPr>
          <w:sz w:val="24"/>
          <w:szCs w:val="24"/>
        </w:rPr>
        <w:t xml:space="preserve">, and/or reduce the frequency and/or intensity of remissions. </w:t>
      </w:r>
    </w:p>
    <w:p w14:paraId="7D045059" w14:textId="7C231043" w:rsidR="001E2615" w:rsidRDefault="007137B2" w:rsidP="002D3A15">
      <w:pPr>
        <w:spacing w:line="360" w:lineRule="auto"/>
        <w:jc w:val="both"/>
        <w:rPr>
          <w:sz w:val="24"/>
          <w:szCs w:val="24"/>
        </w:rPr>
      </w:pPr>
      <w:r>
        <w:rPr>
          <w:sz w:val="24"/>
          <w:szCs w:val="24"/>
        </w:rPr>
        <w:t>While it is known that dysbiosis is associated with CD, it’s not well known whether it is a contributing cause to the disease or its recurrence, or whether it’s a result of the disease</w:t>
      </w:r>
      <w:r w:rsidR="0011777D">
        <w:rPr>
          <w:sz w:val="24"/>
          <w:szCs w:val="24"/>
        </w:rPr>
        <w:t>, or both</w:t>
      </w:r>
      <w:r>
        <w:rPr>
          <w:sz w:val="24"/>
          <w:szCs w:val="24"/>
        </w:rPr>
        <w:t>. Longitudinal studies aimed at assessing the gut microbiome before disease onset and throughout the disease development would provide further insight into the question as to whether dysbiosis precedes the development of Crohn disease or whether it succeeds it</w:t>
      </w:r>
      <w:r w:rsidR="00153E34">
        <w:rPr>
          <w:sz w:val="24"/>
          <w:szCs w:val="24"/>
        </w:rPr>
        <w:t xml:space="preserve">. This would be </w:t>
      </w:r>
      <w:r w:rsidR="00DF05A2">
        <w:rPr>
          <w:sz w:val="24"/>
          <w:szCs w:val="24"/>
        </w:rPr>
        <w:t>important</w:t>
      </w:r>
      <w:r>
        <w:rPr>
          <w:sz w:val="24"/>
          <w:szCs w:val="24"/>
        </w:rPr>
        <w:t xml:space="preserve"> in the future research into therapeutic options.</w:t>
      </w:r>
      <w:r w:rsidR="001E2615">
        <w:rPr>
          <w:sz w:val="24"/>
          <w:szCs w:val="24"/>
        </w:rPr>
        <w:br w:type="page"/>
      </w:r>
    </w:p>
    <w:p w14:paraId="1A5B648C" w14:textId="353E5045" w:rsidR="006C351C" w:rsidRDefault="006C351C" w:rsidP="00704D76">
      <w:pPr>
        <w:pStyle w:val="Overskrift3"/>
        <w:jc w:val="both"/>
      </w:pPr>
      <w:bookmarkStart w:id="20" w:name="_Toc93326816"/>
      <w:r>
        <w:lastRenderedPageBreak/>
        <w:t>8</w:t>
      </w:r>
      <w:r w:rsidR="00F10B65">
        <w:t>. Conclusion</w:t>
      </w:r>
      <w:bookmarkEnd w:id="20"/>
    </w:p>
    <w:p w14:paraId="4684C4D9" w14:textId="530A07A6" w:rsidR="00C5266F" w:rsidRDefault="00F06F5D" w:rsidP="003B6AA8">
      <w:pPr>
        <w:spacing w:line="360" w:lineRule="auto"/>
        <w:jc w:val="both"/>
        <w:rPr>
          <w:sz w:val="24"/>
          <w:szCs w:val="24"/>
        </w:rPr>
      </w:pPr>
      <w:r w:rsidRPr="007874FB">
        <w:rPr>
          <w:sz w:val="24"/>
          <w:szCs w:val="24"/>
        </w:rPr>
        <w:t xml:space="preserve">Crohn disease (CD) </w:t>
      </w:r>
      <w:r>
        <w:rPr>
          <w:sz w:val="24"/>
          <w:szCs w:val="24"/>
        </w:rPr>
        <w:t>is a chronic inflammatory bowel disease</w:t>
      </w:r>
      <w:r w:rsidR="00E5204D">
        <w:rPr>
          <w:sz w:val="24"/>
          <w:szCs w:val="24"/>
        </w:rPr>
        <w:t xml:space="preserve"> which causes significant patient morbidity and healthcare costs</w:t>
      </w:r>
      <w:r>
        <w:rPr>
          <w:sz w:val="24"/>
          <w:szCs w:val="24"/>
        </w:rPr>
        <w:t>.</w:t>
      </w:r>
      <w:r w:rsidR="00E5204D">
        <w:rPr>
          <w:sz w:val="24"/>
          <w:szCs w:val="24"/>
        </w:rPr>
        <w:t xml:space="preserve"> </w:t>
      </w:r>
      <w:r w:rsidR="00C5266F">
        <w:rPr>
          <w:sz w:val="24"/>
          <w:szCs w:val="24"/>
        </w:rPr>
        <w:t xml:space="preserve">Most currently available therapies for Crohn disease are anti-inflammatory medications. </w:t>
      </w:r>
      <w:r w:rsidR="004C31ED">
        <w:rPr>
          <w:sz w:val="24"/>
          <w:szCs w:val="24"/>
        </w:rPr>
        <w:t>Although often efficacious, t</w:t>
      </w:r>
      <w:r w:rsidR="00C5266F">
        <w:rPr>
          <w:sz w:val="24"/>
          <w:szCs w:val="24"/>
        </w:rPr>
        <w:t xml:space="preserve">hese medications are not without risks and side effects, some are very expensive, and </w:t>
      </w:r>
      <w:r w:rsidR="00123544">
        <w:rPr>
          <w:sz w:val="24"/>
          <w:szCs w:val="24"/>
        </w:rPr>
        <w:t xml:space="preserve">not all patients </w:t>
      </w:r>
      <w:r w:rsidR="00C5266F">
        <w:rPr>
          <w:sz w:val="24"/>
          <w:szCs w:val="24"/>
        </w:rPr>
        <w:t xml:space="preserve">respond to them. The disease is chronic and the treatment often lifelong. As such, </w:t>
      </w:r>
      <w:r w:rsidR="00F83375">
        <w:rPr>
          <w:sz w:val="24"/>
          <w:szCs w:val="24"/>
        </w:rPr>
        <w:t>the scientific community</w:t>
      </w:r>
      <w:r w:rsidR="00C5266F">
        <w:rPr>
          <w:sz w:val="24"/>
          <w:szCs w:val="24"/>
        </w:rPr>
        <w:t xml:space="preserve"> </w:t>
      </w:r>
      <w:r w:rsidR="00F83375">
        <w:rPr>
          <w:sz w:val="24"/>
          <w:szCs w:val="24"/>
        </w:rPr>
        <w:t>has</w:t>
      </w:r>
      <w:r w:rsidR="00C5266F">
        <w:rPr>
          <w:sz w:val="24"/>
          <w:szCs w:val="24"/>
        </w:rPr>
        <w:t xml:space="preserve"> been seeking safer, cheaper, and more effective treatment options for Crohn disease and ulcerative colitis.</w:t>
      </w:r>
    </w:p>
    <w:p w14:paraId="329A2AE1" w14:textId="28CD53C0" w:rsidR="006C351C" w:rsidRPr="003B6AA8" w:rsidRDefault="003B6AA8" w:rsidP="003B6AA8">
      <w:pPr>
        <w:spacing w:line="360" w:lineRule="auto"/>
        <w:jc w:val="both"/>
        <w:rPr>
          <w:sz w:val="24"/>
          <w:szCs w:val="24"/>
        </w:rPr>
      </w:pPr>
      <w:r>
        <w:rPr>
          <w:sz w:val="24"/>
          <w:szCs w:val="24"/>
        </w:rPr>
        <w:t>There is theoretical and practical evidence which points to the possibility of certain diets or dietary modifications to be highly efficacious in the induction and maintenance of remission in Crohn disease</w:t>
      </w:r>
      <w:r w:rsidR="004B560D">
        <w:rPr>
          <w:sz w:val="24"/>
          <w:szCs w:val="24"/>
        </w:rPr>
        <w:t>.</w:t>
      </w:r>
      <w:r w:rsidR="00A02682">
        <w:rPr>
          <w:sz w:val="24"/>
          <w:szCs w:val="24"/>
        </w:rPr>
        <w:t xml:space="preserve"> </w:t>
      </w:r>
      <w:r w:rsidR="00990D69">
        <w:rPr>
          <w:sz w:val="24"/>
          <w:szCs w:val="24"/>
        </w:rPr>
        <w:t>Exclusive enteral nutrition (EEN) is already known to be efficacious but has limited use due to poor adherence to treatment, especially in adults</w:t>
      </w:r>
      <w:r w:rsidR="00DE5996">
        <w:rPr>
          <w:sz w:val="24"/>
          <w:szCs w:val="24"/>
        </w:rPr>
        <w:t>, and especially in the long term</w:t>
      </w:r>
      <w:r w:rsidR="00990D69">
        <w:rPr>
          <w:sz w:val="24"/>
          <w:szCs w:val="24"/>
        </w:rPr>
        <w:t xml:space="preserve">. </w:t>
      </w:r>
      <w:r w:rsidR="00A02682">
        <w:rPr>
          <w:sz w:val="24"/>
          <w:szCs w:val="24"/>
        </w:rPr>
        <w:t xml:space="preserve">This paper has </w:t>
      </w:r>
      <w:r w:rsidR="00FA011F">
        <w:rPr>
          <w:sz w:val="24"/>
          <w:szCs w:val="24"/>
        </w:rPr>
        <w:t xml:space="preserve">presented </w:t>
      </w:r>
      <w:r w:rsidR="00FA04C8">
        <w:rPr>
          <w:sz w:val="24"/>
          <w:szCs w:val="24"/>
        </w:rPr>
        <w:t>novel dietary interventions which show promise, namely the CD-TREAT diet</w:t>
      </w:r>
      <w:r w:rsidR="0008028E">
        <w:rPr>
          <w:sz w:val="24"/>
          <w:szCs w:val="24"/>
        </w:rPr>
        <w:t xml:space="preserve"> and the combination of partial enteral nutrition (PEN) and a Crohn disease Exclusion Diet (CDED).</w:t>
      </w:r>
      <w:r w:rsidR="007E0719">
        <w:rPr>
          <w:sz w:val="24"/>
          <w:szCs w:val="24"/>
        </w:rPr>
        <w:t xml:space="preserve"> </w:t>
      </w:r>
      <w:r w:rsidR="00F83375">
        <w:rPr>
          <w:sz w:val="24"/>
          <w:szCs w:val="24"/>
        </w:rPr>
        <w:t xml:space="preserve">However, </w:t>
      </w:r>
      <w:r w:rsidR="00B738D9">
        <w:rPr>
          <w:sz w:val="24"/>
          <w:szCs w:val="24"/>
        </w:rPr>
        <w:t xml:space="preserve">more research is necessary to determine whether any of these interventions should be recommended for wide use. </w:t>
      </w:r>
      <w:r w:rsidR="005272DE">
        <w:rPr>
          <w:sz w:val="24"/>
          <w:szCs w:val="24"/>
        </w:rPr>
        <w:t>Future</w:t>
      </w:r>
      <w:r>
        <w:rPr>
          <w:sz w:val="24"/>
          <w:szCs w:val="24"/>
        </w:rPr>
        <w:t xml:space="preserve"> research </w:t>
      </w:r>
      <w:r w:rsidR="00470E79">
        <w:rPr>
          <w:sz w:val="24"/>
          <w:szCs w:val="24"/>
        </w:rPr>
        <w:t>needs</w:t>
      </w:r>
      <w:r w:rsidR="00B738D9">
        <w:rPr>
          <w:sz w:val="24"/>
          <w:szCs w:val="24"/>
        </w:rPr>
        <w:t xml:space="preserve"> </w:t>
      </w:r>
      <w:r>
        <w:rPr>
          <w:sz w:val="24"/>
          <w:szCs w:val="24"/>
        </w:rPr>
        <w:t>to determine</w:t>
      </w:r>
      <w:r w:rsidR="00B37DB1">
        <w:rPr>
          <w:sz w:val="24"/>
          <w:szCs w:val="24"/>
        </w:rPr>
        <w:t xml:space="preserve"> whether the positive effects of these dietary interventions seen in smaller trials are also present in larger, higher-powered trials. Research also needs to determine </w:t>
      </w:r>
      <w:r>
        <w:rPr>
          <w:sz w:val="24"/>
          <w:szCs w:val="24"/>
        </w:rPr>
        <w:t>which interventions are the most efficacious</w:t>
      </w:r>
      <w:r w:rsidR="00B37DB1">
        <w:rPr>
          <w:sz w:val="24"/>
          <w:szCs w:val="24"/>
        </w:rPr>
        <w:t xml:space="preserve">, </w:t>
      </w:r>
      <w:r w:rsidR="00EB3D50">
        <w:rPr>
          <w:sz w:val="24"/>
          <w:szCs w:val="24"/>
        </w:rPr>
        <w:t xml:space="preserve">how dietary interventions interact with pharmacological therapy, </w:t>
      </w:r>
      <w:r w:rsidR="00B37DB1">
        <w:rPr>
          <w:sz w:val="24"/>
          <w:szCs w:val="24"/>
        </w:rPr>
        <w:t>whether certain</w:t>
      </w:r>
      <w:r>
        <w:rPr>
          <w:sz w:val="24"/>
          <w:szCs w:val="24"/>
        </w:rPr>
        <w:t xml:space="preserve"> subpopulations of CD patients benefit </w:t>
      </w:r>
      <w:r w:rsidR="00B37DB1">
        <w:rPr>
          <w:sz w:val="24"/>
          <w:szCs w:val="24"/>
        </w:rPr>
        <w:t xml:space="preserve">more </w:t>
      </w:r>
      <w:r>
        <w:rPr>
          <w:sz w:val="24"/>
          <w:szCs w:val="24"/>
        </w:rPr>
        <w:t xml:space="preserve">from </w:t>
      </w:r>
      <w:r w:rsidR="00B37DB1">
        <w:rPr>
          <w:sz w:val="24"/>
          <w:szCs w:val="24"/>
        </w:rPr>
        <w:t xml:space="preserve">certain </w:t>
      </w:r>
      <w:r>
        <w:rPr>
          <w:sz w:val="24"/>
          <w:szCs w:val="24"/>
        </w:rPr>
        <w:t>interventions</w:t>
      </w:r>
      <w:r w:rsidR="00B37DB1">
        <w:rPr>
          <w:sz w:val="24"/>
          <w:szCs w:val="24"/>
        </w:rPr>
        <w:t xml:space="preserve">, and whether dietary interventions </w:t>
      </w:r>
      <w:r w:rsidR="00555151">
        <w:rPr>
          <w:sz w:val="24"/>
          <w:szCs w:val="24"/>
        </w:rPr>
        <w:t xml:space="preserve">are </w:t>
      </w:r>
      <w:r w:rsidR="00B37DB1">
        <w:rPr>
          <w:sz w:val="24"/>
          <w:szCs w:val="24"/>
        </w:rPr>
        <w:t xml:space="preserve">universal or must be </w:t>
      </w:r>
      <w:r w:rsidR="00D23912">
        <w:rPr>
          <w:sz w:val="24"/>
          <w:szCs w:val="24"/>
        </w:rPr>
        <w:t xml:space="preserve">individualised or adapted to </w:t>
      </w:r>
      <w:r w:rsidR="00B37DB1">
        <w:rPr>
          <w:sz w:val="24"/>
          <w:szCs w:val="24"/>
        </w:rPr>
        <w:t>certain sub-populations.</w:t>
      </w:r>
      <w:r w:rsidR="00811819">
        <w:rPr>
          <w:sz w:val="24"/>
          <w:szCs w:val="24"/>
        </w:rPr>
        <w:t xml:space="preserve"> </w:t>
      </w:r>
      <w:r w:rsidR="006C351C">
        <w:br w:type="page"/>
      </w:r>
    </w:p>
    <w:p w14:paraId="5C8289EC" w14:textId="63DF94EE" w:rsidR="00E834B6" w:rsidRDefault="00DA7C25" w:rsidP="00704D76">
      <w:pPr>
        <w:pStyle w:val="Overskrift3"/>
        <w:jc w:val="both"/>
      </w:pPr>
      <w:bookmarkStart w:id="21" w:name="_Toc93326817"/>
      <w:r>
        <w:lastRenderedPageBreak/>
        <w:t>Bibliography</w:t>
      </w:r>
      <w:bookmarkEnd w:id="21"/>
    </w:p>
    <w:p w14:paraId="64265953" w14:textId="77777777" w:rsidR="00531974" w:rsidRDefault="00E834B6" w:rsidP="00531974">
      <w:pPr>
        <w:pStyle w:val="Bibliografi"/>
      </w:pPr>
      <w:r w:rsidRPr="00DE0962">
        <w:fldChar w:fldCharType="begin"/>
      </w:r>
      <w:r w:rsidR="00531974">
        <w:instrText xml:space="preserve"> ADDIN ZOTERO_BIBL {"uncited":[],"omitted":[],"custom":[]} CSL_BIBLIOGRAPHY </w:instrText>
      </w:r>
      <w:r w:rsidRPr="00DE0962">
        <w:fldChar w:fldCharType="separate"/>
      </w:r>
      <w:r w:rsidR="00531974">
        <w:t xml:space="preserve">1. </w:t>
      </w:r>
      <w:r w:rsidR="00531974">
        <w:tab/>
        <w:t xml:space="preserve">Satsangi J. The Montreal classification of inflammatory bowel disease: controversies, consensus, and implications. </w:t>
      </w:r>
      <w:r w:rsidR="00531974">
        <w:rPr>
          <w:i/>
          <w:iCs/>
        </w:rPr>
        <w:t>Gut</w:t>
      </w:r>
      <w:r w:rsidR="00531974">
        <w:t>. 2006;55(6):749-753. doi:10.1136/gut.2005.082909</w:t>
      </w:r>
    </w:p>
    <w:p w14:paraId="2E3DA2D0" w14:textId="77777777" w:rsidR="00531974" w:rsidRDefault="00531974" w:rsidP="00531974">
      <w:pPr>
        <w:pStyle w:val="Bibliografi"/>
      </w:pPr>
      <w:r>
        <w:t xml:space="preserve">2. </w:t>
      </w:r>
      <w:r>
        <w:tab/>
        <w:t xml:space="preserve">Lichtenstein GR, Loftus EV, Isaacs KL, Regueiro MD, Gerson LB, Sands BE. ACG Clinical Guideline: Management of Crohn’s Disease in Adults. </w:t>
      </w:r>
      <w:r>
        <w:rPr>
          <w:i/>
          <w:iCs/>
        </w:rPr>
        <w:t>Am J Gastroenterol</w:t>
      </w:r>
      <w:r>
        <w:t>. 2018;113(4):481-517. doi:10.1038/ajg.2018.27</w:t>
      </w:r>
    </w:p>
    <w:p w14:paraId="0D9BE15A" w14:textId="77777777" w:rsidR="00531974" w:rsidRDefault="00531974" w:rsidP="00531974">
      <w:pPr>
        <w:pStyle w:val="Bibliografi"/>
      </w:pPr>
      <w:r>
        <w:t xml:space="preserve">3. </w:t>
      </w:r>
      <w:r>
        <w:tab/>
        <w:t xml:space="preserve">Peyrin-Biroulet L, Loftus EV, Colombel JF, Sandborn WJ. Long-term complications, extraintestinal manifestations, and mortality in adult Crohn’s disease in population-based cohorts. </w:t>
      </w:r>
      <w:r>
        <w:rPr>
          <w:i/>
          <w:iCs/>
        </w:rPr>
        <w:t>Inflamm Bowel Dis</w:t>
      </w:r>
      <w:r>
        <w:t>. 2011;17(1):471-478. doi:10.1002/ibd.21417</w:t>
      </w:r>
    </w:p>
    <w:p w14:paraId="302100BB" w14:textId="77777777" w:rsidR="00531974" w:rsidRDefault="00531974" w:rsidP="00531974">
      <w:pPr>
        <w:pStyle w:val="Bibliografi"/>
      </w:pPr>
      <w:r>
        <w:t xml:space="preserve">4. </w:t>
      </w:r>
      <w:r>
        <w:tab/>
        <w:t xml:space="preserve">Ng SC, Shi HY, Hamidi N, et al. Worldwide incidence and prevalence of inflammatory bowel disease in the 21st century: a systematic review of population-based studies. </w:t>
      </w:r>
      <w:r>
        <w:rPr>
          <w:i/>
          <w:iCs/>
        </w:rPr>
        <w:t>The Lancet</w:t>
      </w:r>
      <w:r>
        <w:t>. 2017;390(10114):2769-2778. doi:10.1016/S0140-6736(17)32448-0</w:t>
      </w:r>
    </w:p>
    <w:p w14:paraId="7D25C0E6" w14:textId="77777777" w:rsidR="00531974" w:rsidRDefault="00531974" w:rsidP="00531974">
      <w:pPr>
        <w:pStyle w:val="Bibliografi"/>
      </w:pPr>
      <w:r>
        <w:t xml:space="preserve">5. </w:t>
      </w:r>
      <w:r>
        <w:tab/>
        <w:t xml:space="preserve">Büsch K, Ludvigsson JF, Ekström-Smedby K, Ekbom A, Askling J, Neovius M. Nationwide prevalence of inflammatory bowel disease in Sweden: a population-based register study. </w:t>
      </w:r>
      <w:r>
        <w:rPr>
          <w:i/>
          <w:iCs/>
        </w:rPr>
        <w:t>Aliment Pharmacol Ther</w:t>
      </w:r>
      <w:r>
        <w:t>. 2014;39(1):57-68. doi:10.1111/apt.12528</w:t>
      </w:r>
    </w:p>
    <w:p w14:paraId="2C6635E3" w14:textId="77777777" w:rsidR="00531974" w:rsidRDefault="00531974" w:rsidP="00531974">
      <w:pPr>
        <w:pStyle w:val="Bibliografi"/>
      </w:pPr>
      <w:r>
        <w:t xml:space="preserve">6. </w:t>
      </w:r>
      <w:r>
        <w:tab/>
        <w:t xml:space="preserve">Molodecky NA, Soon IS, Rabi DM, et al. Increasing Incidence and Prevalence of the Inflammatory Bowel Diseases With Time, Based on Systematic Review. </w:t>
      </w:r>
      <w:r>
        <w:rPr>
          <w:i/>
          <w:iCs/>
        </w:rPr>
        <w:t>Gastroenterology</w:t>
      </w:r>
      <w:r>
        <w:t>. 2012;142(1):46-54.e42. doi:10.1053/j.gastro.2011.10.001</w:t>
      </w:r>
    </w:p>
    <w:p w14:paraId="682E0287" w14:textId="77777777" w:rsidR="00531974" w:rsidRDefault="00531974" w:rsidP="00531974">
      <w:pPr>
        <w:pStyle w:val="Bibliografi"/>
      </w:pPr>
      <w:r>
        <w:t xml:space="preserve">7. </w:t>
      </w:r>
      <w:r>
        <w:tab/>
        <w:t xml:space="preserve">Shivashankar R, Tremaine WJ, Harmsen WS, Loftus EV. Incidence and Prevalence of Crohn’s Disease and Ulcerative Colitis in Olmsted County, Minnesota From 1970 Through 2010. </w:t>
      </w:r>
      <w:r>
        <w:rPr>
          <w:i/>
          <w:iCs/>
        </w:rPr>
        <w:t>Clin Gastroenterol Hepatol</w:t>
      </w:r>
      <w:r>
        <w:t>. 2017;15(6):857-863. doi:10.1016/j.cgh.2016.10.039</w:t>
      </w:r>
    </w:p>
    <w:p w14:paraId="4823F6AB" w14:textId="77777777" w:rsidR="00531974" w:rsidRDefault="00531974" w:rsidP="00531974">
      <w:pPr>
        <w:pStyle w:val="Bibliografi"/>
      </w:pPr>
      <w:r>
        <w:t xml:space="preserve">8. </w:t>
      </w:r>
      <w:r>
        <w:tab/>
        <w:t xml:space="preserve">Mahid SS, Minor KS, Soto RE, Hornung CA, Galandiuk S. Smoking and inflammatory bowel disease: a meta-analysis. </w:t>
      </w:r>
      <w:r>
        <w:rPr>
          <w:i/>
          <w:iCs/>
        </w:rPr>
        <w:t>Mayo Clin Proc</w:t>
      </w:r>
      <w:r>
        <w:t>. 2006;81(11):1462-1471. doi:10.4065/81.11.1462</w:t>
      </w:r>
    </w:p>
    <w:p w14:paraId="26BAE11A" w14:textId="77777777" w:rsidR="00531974" w:rsidRDefault="00531974" w:rsidP="00531974">
      <w:pPr>
        <w:pStyle w:val="Bibliografi"/>
      </w:pPr>
      <w:r>
        <w:t xml:space="preserve">9. </w:t>
      </w:r>
      <w:r>
        <w:tab/>
        <w:t xml:space="preserve">Khalili H, Ananthakrishnan AN, Konijeti GG, et al. Physical activity and risk of inflammatory bowel disease: prospective study from the Nurses’ Health Study cohorts. </w:t>
      </w:r>
      <w:r>
        <w:rPr>
          <w:i/>
          <w:iCs/>
        </w:rPr>
        <w:t>BMJ</w:t>
      </w:r>
      <w:r>
        <w:t>. 2013;347:f6633. doi:10.1136/bmj.f6633</w:t>
      </w:r>
    </w:p>
    <w:p w14:paraId="6A5A7A42" w14:textId="77777777" w:rsidR="00531974" w:rsidRDefault="00531974" w:rsidP="00531974">
      <w:pPr>
        <w:pStyle w:val="Bibliografi"/>
      </w:pPr>
      <w:r>
        <w:t xml:space="preserve">10. </w:t>
      </w:r>
      <w:r>
        <w:tab/>
        <w:t xml:space="preserve">Ananthakrishnan AN, Higuchi LM, Huang ES, et al. Aspirin, nonsteroidal anti-inflammatory drug use, and risk for Crohn disease and ulcerative colitis: a cohort study. </w:t>
      </w:r>
      <w:r>
        <w:rPr>
          <w:i/>
          <w:iCs/>
        </w:rPr>
        <w:t>Ann Intern Med</w:t>
      </w:r>
      <w:r>
        <w:t>. 2012;156(5):350-359. doi:10.7326/0003-4819-156-5-201203060-00007</w:t>
      </w:r>
    </w:p>
    <w:p w14:paraId="2C1131AF" w14:textId="77777777" w:rsidR="00531974" w:rsidRDefault="00531974" w:rsidP="00531974">
      <w:pPr>
        <w:pStyle w:val="Bibliografi"/>
      </w:pPr>
      <w:r>
        <w:t xml:space="preserve">11. </w:t>
      </w:r>
      <w:r>
        <w:tab/>
        <w:t xml:space="preserve">López-Serrano P, Pérez-Calle JL, Pérez-Fernández MT, Fernández-Font JM, Boixeda de Miguel D, Fernández-Rodríguez CM. Environmental risk factors in inflammatory bowel diseases. Investigating the hygiene hypothesis: a Spanish case-control study. </w:t>
      </w:r>
      <w:r>
        <w:rPr>
          <w:i/>
          <w:iCs/>
        </w:rPr>
        <w:t>Scand J Gastroenterol</w:t>
      </w:r>
      <w:r>
        <w:t>. 2010;45(12):1464-1471. doi:10.3109/00365521.2010.510575</w:t>
      </w:r>
    </w:p>
    <w:p w14:paraId="2AABDC25" w14:textId="77777777" w:rsidR="00531974" w:rsidRDefault="00531974" w:rsidP="00531974">
      <w:pPr>
        <w:pStyle w:val="Bibliografi"/>
      </w:pPr>
      <w:r>
        <w:lastRenderedPageBreak/>
        <w:t xml:space="preserve">12. </w:t>
      </w:r>
      <w:r>
        <w:tab/>
        <w:t xml:space="preserve">Xu L, Lochhead P, Ko Y, Claggett B, Leong RW, Ananthakrishnan AN. Systematic review with meta-analysis: breastfeeding and the risk of Crohn’s disease and ulcerative colitis. </w:t>
      </w:r>
      <w:r>
        <w:rPr>
          <w:i/>
          <w:iCs/>
        </w:rPr>
        <w:t>Aliment Pharmacol Ther</w:t>
      </w:r>
      <w:r>
        <w:t>. 2017;46(9):780-789. doi:10.1111/apt.14291</w:t>
      </w:r>
    </w:p>
    <w:p w14:paraId="1E293B8E" w14:textId="77777777" w:rsidR="00531974" w:rsidRDefault="00531974" w:rsidP="00531974">
      <w:pPr>
        <w:pStyle w:val="Bibliografi"/>
      </w:pPr>
      <w:r>
        <w:t xml:space="preserve">13. </w:t>
      </w:r>
      <w:r>
        <w:tab/>
        <w:t xml:space="preserve">Abegunde AT, Muhammad BH, Bhatti O, Ali T. Environmental risk factors for inflammatory bowel diseases: Evidence based literature review. </w:t>
      </w:r>
      <w:r>
        <w:rPr>
          <w:i/>
          <w:iCs/>
        </w:rPr>
        <w:t>World J Gastroenterol</w:t>
      </w:r>
      <w:r>
        <w:t>. 2016;22(27):6296-6317. doi:10.3748/wjg.v22.i27.6296</w:t>
      </w:r>
    </w:p>
    <w:p w14:paraId="2EDE6E55" w14:textId="77777777" w:rsidR="00531974" w:rsidRDefault="00531974" w:rsidP="00531974">
      <w:pPr>
        <w:pStyle w:val="Bibliografi"/>
      </w:pPr>
      <w:r>
        <w:t xml:space="preserve">14. </w:t>
      </w:r>
      <w:r>
        <w:tab/>
        <w:t xml:space="preserve">Del Pinto R, Pietropaoli D, Chandar AK, Ferri C, Cominelli F. Association Between Inflammatory Bowel Disease and Vitamin D Deficiency: A Systematic Review and Meta-analysis. </w:t>
      </w:r>
      <w:r>
        <w:rPr>
          <w:i/>
          <w:iCs/>
        </w:rPr>
        <w:t>Inflamm Bowel Dis</w:t>
      </w:r>
      <w:r>
        <w:t>. 2015;21(11):2708-2717. doi:10.1097/MIB.0000000000000546</w:t>
      </w:r>
    </w:p>
    <w:p w14:paraId="263B921D" w14:textId="77777777" w:rsidR="00531974" w:rsidRDefault="00531974" w:rsidP="00531974">
      <w:pPr>
        <w:pStyle w:val="Bibliografi"/>
      </w:pPr>
      <w:r>
        <w:t xml:space="preserve">15. </w:t>
      </w:r>
      <w:r>
        <w:tab/>
        <w:t xml:space="preserve">Orholm M, Munkholm P, Langholz E, Nielsen OH, Sørensen TIA, Binder V. Familial Occurrence of Inflammatory Bowel Disease. </w:t>
      </w:r>
      <w:r>
        <w:rPr>
          <w:i/>
          <w:iCs/>
        </w:rPr>
        <w:t>N Engl J Med</w:t>
      </w:r>
      <w:r>
        <w:t>. 1991;324(2):84-88. doi:10.1056/NEJM199101103240203</w:t>
      </w:r>
    </w:p>
    <w:p w14:paraId="56613734" w14:textId="77777777" w:rsidR="00531974" w:rsidRDefault="00531974" w:rsidP="00531974">
      <w:pPr>
        <w:pStyle w:val="Bibliografi"/>
      </w:pPr>
      <w:r>
        <w:t xml:space="preserve">16. </w:t>
      </w:r>
      <w:r>
        <w:tab/>
        <w:t xml:space="preserve">Halfvarson J, Bodin L, Tysk C, Lindberg E, Järnerot G. Inflammatory bowel disease in a Swedish twin cohort: a long-term follow-up of concordance and clinical characteristics. </w:t>
      </w:r>
      <w:r>
        <w:rPr>
          <w:i/>
          <w:iCs/>
        </w:rPr>
        <w:t>Gastroenterology</w:t>
      </w:r>
      <w:r>
        <w:t>. 2003;124(7):1767-1773. doi:10.1016/S0016-5085(03)00385-8</w:t>
      </w:r>
    </w:p>
    <w:p w14:paraId="6A8FA978" w14:textId="77777777" w:rsidR="00531974" w:rsidRDefault="00531974" w:rsidP="00531974">
      <w:pPr>
        <w:pStyle w:val="Bibliografi"/>
      </w:pPr>
      <w:r>
        <w:t xml:space="preserve">17. </w:t>
      </w:r>
      <w:r>
        <w:tab/>
        <w:t xml:space="preserve">Colombel JF, Grandbastien B, Gower-Rousseau C, et al. Clinical characteristics of Crohn’s disease in 72 families. </w:t>
      </w:r>
      <w:r>
        <w:rPr>
          <w:i/>
          <w:iCs/>
        </w:rPr>
        <w:t>Gastroenterology</w:t>
      </w:r>
      <w:r>
        <w:t>. 1996;111(3):604-607. doi:10.1053/gast.1996.v111.pm8780563</w:t>
      </w:r>
    </w:p>
    <w:p w14:paraId="246549CC" w14:textId="77777777" w:rsidR="00531974" w:rsidRDefault="00531974" w:rsidP="00531974">
      <w:pPr>
        <w:pStyle w:val="Bibliografi"/>
      </w:pPr>
      <w:r>
        <w:t xml:space="preserve">18. </w:t>
      </w:r>
      <w:r>
        <w:tab/>
        <w:t xml:space="preserve">Bayless TM, Tokayer AZ, Polito JM, Quaskey SA, Mellits ED, Harris ML. Crohn’s disease: concordance for site and clinical type in affected family members--potential hereditary influences. </w:t>
      </w:r>
      <w:r>
        <w:rPr>
          <w:i/>
          <w:iCs/>
        </w:rPr>
        <w:t>Gastroenterology</w:t>
      </w:r>
      <w:r>
        <w:t>. 1996;111(3):573-579. doi:10.1053/gast.1996.v111.pm8780559</w:t>
      </w:r>
    </w:p>
    <w:p w14:paraId="5CCCCB7C" w14:textId="77777777" w:rsidR="00531974" w:rsidRDefault="00531974" w:rsidP="00531974">
      <w:pPr>
        <w:pStyle w:val="Bibliografi"/>
      </w:pPr>
      <w:r>
        <w:t xml:space="preserve">19. </w:t>
      </w:r>
      <w:r>
        <w:tab/>
        <w:t xml:space="preserve">Ye BD, McGovern DPB. Genetic variation in IBD: progress, clues to pathogenesis and possible clinical utility. </w:t>
      </w:r>
      <w:r>
        <w:rPr>
          <w:i/>
          <w:iCs/>
        </w:rPr>
        <w:t>Expert Rev Clin Immunol</w:t>
      </w:r>
      <w:r>
        <w:t>. 2016;12(10):1091-1107. doi:10.1080/1744666X.2016.1184972</w:t>
      </w:r>
    </w:p>
    <w:p w14:paraId="37A72C9D" w14:textId="77777777" w:rsidR="00531974" w:rsidRDefault="00531974" w:rsidP="00531974">
      <w:pPr>
        <w:pStyle w:val="Bibliografi"/>
      </w:pPr>
      <w:r>
        <w:t xml:space="preserve">20. </w:t>
      </w:r>
      <w:r>
        <w:tab/>
        <w:t xml:space="preserve">Kugathasan S, Collins N, Maresso K, et al. CARD15 gene mutations and risk for early surgery in pediatric-onset Crohn’s disease. </w:t>
      </w:r>
      <w:r>
        <w:rPr>
          <w:i/>
          <w:iCs/>
        </w:rPr>
        <w:t>Clin Gastroenterol Hepatol Off Clin Pract J Am Gastroenterol Assoc</w:t>
      </w:r>
      <w:r>
        <w:t>. 2004;2(11):1003-1009. doi:10.1016/s1542-3565(04)00452-5</w:t>
      </w:r>
    </w:p>
    <w:p w14:paraId="23675156" w14:textId="77777777" w:rsidR="00531974" w:rsidRDefault="00531974" w:rsidP="00531974">
      <w:pPr>
        <w:pStyle w:val="Bibliografi"/>
      </w:pPr>
      <w:r>
        <w:t xml:space="preserve">21. </w:t>
      </w:r>
      <w:r>
        <w:tab/>
        <w:t xml:space="preserve">Lauro ML, D’Ambrosio EA, Bahnson BJ, Grimes CL. Molecular Recognition of Muramyl Dipeptide Occurs in the Leucine-rich Repeat Domain of Nod2. </w:t>
      </w:r>
      <w:r>
        <w:rPr>
          <w:i/>
          <w:iCs/>
        </w:rPr>
        <w:t>ACS Infect Dis</w:t>
      </w:r>
      <w:r>
        <w:t>. 2017;3(4):264-270. doi:10.1021/acsinfecdis.6b00154</w:t>
      </w:r>
    </w:p>
    <w:p w14:paraId="4DA822F6" w14:textId="77777777" w:rsidR="00531974" w:rsidRDefault="00531974" w:rsidP="00531974">
      <w:pPr>
        <w:pStyle w:val="Bibliografi"/>
      </w:pPr>
      <w:r>
        <w:t xml:space="preserve">22. </w:t>
      </w:r>
      <w:r>
        <w:tab/>
        <w:t xml:space="preserve">Kaser A, Lee AH, Franke A, et al. XBP1 links ER stress to intestinal inflammation and confers genetic risk for human inflammatory bowel disease. </w:t>
      </w:r>
      <w:r>
        <w:rPr>
          <w:i/>
          <w:iCs/>
        </w:rPr>
        <w:t>Cell</w:t>
      </w:r>
      <w:r>
        <w:t>. 2008;134(5):743-756. doi:10.1016/j.cell.2008.07.021</w:t>
      </w:r>
    </w:p>
    <w:p w14:paraId="46522596" w14:textId="77777777" w:rsidR="00531974" w:rsidRDefault="00531974" w:rsidP="00531974">
      <w:pPr>
        <w:pStyle w:val="Bibliografi"/>
      </w:pPr>
      <w:r>
        <w:lastRenderedPageBreak/>
        <w:t xml:space="preserve">23. </w:t>
      </w:r>
      <w:r>
        <w:tab/>
        <w:t xml:space="preserve">VanDussen KL, Liu TC, Li D, et al. Genetic variants synthesize to produce paneth cell phenotypes that define subtypes of Crohn’s disease. </w:t>
      </w:r>
      <w:r>
        <w:rPr>
          <w:i/>
          <w:iCs/>
        </w:rPr>
        <w:t>Gastroenterology</w:t>
      </w:r>
      <w:r>
        <w:t>. 2014;146(1):200-209. doi:10.1053/j.gastro.2013.09.048</w:t>
      </w:r>
    </w:p>
    <w:p w14:paraId="5878CCBF" w14:textId="77777777" w:rsidR="00531974" w:rsidRDefault="00531974" w:rsidP="00531974">
      <w:pPr>
        <w:pStyle w:val="Bibliografi"/>
      </w:pPr>
      <w:r>
        <w:t xml:space="preserve">24. </w:t>
      </w:r>
      <w:r>
        <w:tab/>
        <w:t xml:space="preserve">Burisch J, Jess T, Martinato M, Lakatos PL. The burden of inflammatory bowel disease in Europe. </w:t>
      </w:r>
      <w:r>
        <w:rPr>
          <w:i/>
          <w:iCs/>
        </w:rPr>
        <w:t>J Crohns Colitis</w:t>
      </w:r>
      <w:r>
        <w:t>. 2013;7(4):322-337. doi:10.1016/j.crohns.2013.01.010</w:t>
      </w:r>
    </w:p>
    <w:p w14:paraId="2D53B2C0" w14:textId="77777777" w:rsidR="00531974" w:rsidRDefault="00531974" w:rsidP="00531974">
      <w:pPr>
        <w:pStyle w:val="Bibliografi"/>
      </w:pPr>
      <w:r>
        <w:t xml:space="preserve">25. </w:t>
      </w:r>
      <w:r>
        <w:tab/>
        <w:t xml:space="preserve">Solberg IC, Vatn MH, Høie O, et al. Clinical Course in Crohn’s Disease: Results of a Norwegian Population-Based Ten-Year Follow-Up Study. </w:t>
      </w:r>
      <w:r>
        <w:rPr>
          <w:i/>
          <w:iCs/>
        </w:rPr>
        <w:t>Clin Gastroenterol Hepatol</w:t>
      </w:r>
      <w:r>
        <w:t>. 2007;5(12):1430-1438. doi:10.1016/j.cgh.2007.09.002</w:t>
      </w:r>
    </w:p>
    <w:p w14:paraId="7EFD30C9" w14:textId="77777777" w:rsidR="00531974" w:rsidRDefault="00531974" w:rsidP="00531974">
      <w:pPr>
        <w:pStyle w:val="Bibliografi"/>
      </w:pPr>
      <w:r>
        <w:t xml:space="preserve">26. </w:t>
      </w:r>
      <w:r>
        <w:tab/>
        <w:t xml:space="preserve">Frolkis AD, Dykeman J, Negrón ME, et al. Risk of Surgery for Inflammatory Bowel Diseases Has Decreased Over Time: A Systematic Review and Meta-analysis of Population-Based Studies. </w:t>
      </w:r>
      <w:r>
        <w:rPr>
          <w:i/>
          <w:iCs/>
        </w:rPr>
        <w:t>Gastroenterology</w:t>
      </w:r>
      <w:r>
        <w:t>. 2013;145(5):996-1006. doi:10.1053/j.gastro.2013.07.041</w:t>
      </w:r>
    </w:p>
    <w:p w14:paraId="52458255" w14:textId="77777777" w:rsidR="00531974" w:rsidRDefault="00531974" w:rsidP="00531974">
      <w:pPr>
        <w:pStyle w:val="Bibliografi"/>
      </w:pPr>
      <w:r>
        <w:t xml:space="preserve">27. </w:t>
      </w:r>
      <w:r>
        <w:tab/>
        <w:t xml:space="preserve">MetaHIT Consortium, Qin J, Li R, et al. A human gut microbial gene catalogue established by metagenomic sequencing. </w:t>
      </w:r>
      <w:r>
        <w:rPr>
          <w:i/>
          <w:iCs/>
        </w:rPr>
        <w:t>Nature</w:t>
      </w:r>
      <w:r>
        <w:t>. 2010;464(7285):59-65. doi:10.1038/nature08821</w:t>
      </w:r>
    </w:p>
    <w:p w14:paraId="4FA5E5B2" w14:textId="77777777" w:rsidR="00531974" w:rsidRDefault="00531974" w:rsidP="00531974">
      <w:pPr>
        <w:pStyle w:val="Bibliografi"/>
      </w:pPr>
      <w:r>
        <w:t xml:space="preserve">28. </w:t>
      </w:r>
      <w:r>
        <w:tab/>
        <w:t xml:space="preserve">Lozupone CA, Stombaugh JI, Gordon JI, Jansson JK, Knight R. Diversity, stability and resilience of the human gut microbiota. </w:t>
      </w:r>
      <w:r>
        <w:rPr>
          <w:i/>
          <w:iCs/>
        </w:rPr>
        <w:t>Nature</w:t>
      </w:r>
      <w:r>
        <w:t>. 2012;489(7415):220-230. doi:10.1038/nature11550</w:t>
      </w:r>
    </w:p>
    <w:p w14:paraId="2A69D04E" w14:textId="77777777" w:rsidR="00531974" w:rsidRDefault="00531974" w:rsidP="00531974">
      <w:pPr>
        <w:pStyle w:val="Bibliografi"/>
      </w:pPr>
      <w:r>
        <w:t xml:space="preserve">29. </w:t>
      </w:r>
      <w:r>
        <w:tab/>
        <w:t xml:space="preserve">Mentella MC, Scaldaferri F, Pizzoferrato M, Gasbarrini A, Miggiano GAD. Nutrition, IBD and Gut Microbiota: A Review. </w:t>
      </w:r>
      <w:r>
        <w:rPr>
          <w:i/>
          <w:iCs/>
        </w:rPr>
        <w:t>Nutrients</w:t>
      </w:r>
      <w:r>
        <w:t>. 2020;12(4):944. doi:10.3390/nu12040944</w:t>
      </w:r>
    </w:p>
    <w:p w14:paraId="386916BB" w14:textId="77777777" w:rsidR="00531974" w:rsidRDefault="00531974" w:rsidP="00531974">
      <w:pPr>
        <w:pStyle w:val="Bibliografi"/>
      </w:pPr>
      <w:r>
        <w:t xml:space="preserve">30. </w:t>
      </w:r>
      <w:r>
        <w:tab/>
        <w:t xml:space="preserve">Spor A, Koren O, Ley R. Unravelling the effects of the environment and host genotype on the gut microbiome. </w:t>
      </w:r>
      <w:r>
        <w:rPr>
          <w:i/>
          <w:iCs/>
        </w:rPr>
        <w:t>Nat Rev Microbiol</w:t>
      </w:r>
      <w:r>
        <w:t>. 2011;9(4):279-290. doi:10.1038/nrmicro2540</w:t>
      </w:r>
    </w:p>
    <w:p w14:paraId="3299C7F8" w14:textId="77777777" w:rsidR="00531974" w:rsidRDefault="00531974" w:rsidP="00531974">
      <w:pPr>
        <w:pStyle w:val="Bibliografi"/>
      </w:pPr>
      <w:r>
        <w:t xml:space="preserve">31. </w:t>
      </w:r>
      <w:r>
        <w:tab/>
        <w:t xml:space="preserve">Shaw SY, Blanchard JF, Bernstein CN. Association between the use of antibiotics in the first year of life and pediatric inflammatory bowel disease. </w:t>
      </w:r>
      <w:r>
        <w:rPr>
          <w:i/>
          <w:iCs/>
        </w:rPr>
        <w:t>Am J Gastroenterol</w:t>
      </w:r>
      <w:r>
        <w:t>. 2010;105(12):2687-2692. doi:10.1038/ajg.2010.398</w:t>
      </w:r>
    </w:p>
    <w:p w14:paraId="50994C3C" w14:textId="77777777" w:rsidR="00531974" w:rsidRDefault="00531974" w:rsidP="00531974">
      <w:pPr>
        <w:pStyle w:val="Bibliografi"/>
      </w:pPr>
      <w:r>
        <w:t xml:space="preserve">32. </w:t>
      </w:r>
      <w:r>
        <w:tab/>
        <w:t xml:space="preserve">Yatsunenko T, Rey FE, Manary MJ, et al. Human gut microbiome viewed across age and geography. </w:t>
      </w:r>
      <w:r>
        <w:rPr>
          <w:i/>
          <w:iCs/>
        </w:rPr>
        <w:t>Nature</w:t>
      </w:r>
      <w:r>
        <w:t>. 2012;486(7402):222-227. doi:10.1038/nature11053</w:t>
      </w:r>
    </w:p>
    <w:p w14:paraId="240E7D27" w14:textId="77777777" w:rsidR="00531974" w:rsidRDefault="00531974" w:rsidP="00531974">
      <w:pPr>
        <w:pStyle w:val="Bibliografi"/>
      </w:pPr>
      <w:r>
        <w:t xml:space="preserve">33. </w:t>
      </w:r>
      <w:r>
        <w:tab/>
        <w:t xml:space="preserve">Andoh A, Bamba T, Sasaki M. Physiological and Anti-Inflammatory Roles of Dietary Fiber and Butyrate in Intestinal Functions. </w:t>
      </w:r>
      <w:r>
        <w:rPr>
          <w:i/>
          <w:iCs/>
        </w:rPr>
        <w:t>J Parenter Enter Nutr</w:t>
      </w:r>
      <w:r>
        <w:t>. 1999;23(5_suppl):S70-S73. doi:10.1177/014860719902300518</w:t>
      </w:r>
    </w:p>
    <w:p w14:paraId="5AE41576" w14:textId="77777777" w:rsidR="00531974" w:rsidRDefault="00531974" w:rsidP="00531974">
      <w:pPr>
        <w:pStyle w:val="Bibliografi"/>
      </w:pPr>
      <w:r>
        <w:t xml:space="preserve">34. </w:t>
      </w:r>
      <w:r>
        <w:tab/>
        <w:t xml:space="preserve">Tedelind S, Westberg F, Kjerrulf M, Vidal A. Anti-inflammatory properties of the short-chain fatty acids acetate and propionate: A study with relevance to inflammatory bowel disease. </w:t>
      </w:r>
      <w:r>
        <w:rPr>
          <w:i/>
          <w:iCs/>
        </w:rPr>
        <w:t>World J Gastroenterol</w:t>
      </w:r>
      <w:r>
        <w:t>. 2007;13(20):2826. doi:10.3748/wjg.v13.i20.2826</w:t>
      </w:r>
    </w:p>
    <w:p w14:paraId="7B1836F7" w14:textId="77777777" w:rsidR="00531974" w:rsidRDefault="00531974" w:rsidP="00531974">
      <w:pPr>
        <w:pStyle w:val="Bibliografi"/>
      </w:pPr>
      <w:r>
        <w:t xml:space="preserve">35. </w:t>
      </w:r>
      <w:r>
        <w:tab/>
        <w:t xml:space="preserve">Segain JP. Butyrate inhibits inflammatory responses through NFkappa B inhibition: implications for Crohn’s disease. </w:t>
      </w:r>
      <w:r>
        <w:rPr>
          <w:i/>
          <w:iCs/>
        </w:rPr>
        <w:t>Gut</w:t>
      </w:r>
      <w:r>
        <w:t>. 2000;47(3):397-403. doi:10.1136/gut.47.3.397</w:t>
      </w:r>
    </w:p>
    <w:p w14:paraId="6B019F88" w14:textId="77777777" w:rsidR="00531974" w:rsidRDefault="00531974" w:rsidP="00531974">
      <w:pPr>
        <w:pStyle w:val="Bibliografi"/>
      </w:pPr>
      <w:r>
        <w:lastRenderedPageBreak/>
        <w:t xml:space="preserve">36. </w:t>
      </w:r>
      <w:r>
        <w:tab/>
        <w:t xml:space="preserve">Kasubuchi M, Hasegawa S, Hiramatsu T, Ichimura A, Kimura I. Dietary Gut Microbial Metabolites, Short-chain Fatty Acids, and Host Metabolic Regulation. </w:t>
      </w:r>
      <w:r>
        <w:rPr>
          <w:i/>
          <w:iCs/>
        </w:rPr>
        <w:t>Nutrients</w:t>
      </w:r>
      <w:r>
        <w:t>. 2015;7(4):2839-2849. doi:10.3390/nu7042839</w:t>
      </w:r>
    </w:p>
    <w:p w14:paraId="385223B6" w14:textId="77777777" w:rsidR="00531974" w:rsidRDefault="00531974" w:rsidP="00531974">
      <w:pPr>
        <w:pStyle w:val="Bibliografi"/>
      </w:pPr>
      <w:r>
        <w:t xml:space="preserve">37. </w:t>
      </w:r>
      <w:r>
        <w:tab/>
        <w:t xml:space="preserve">Sokol H, Pigneur B, Watterlot L, et al. Faecalibacterium prausnitzii is an anti-inflammatory commensal bacterium identified by gut microbiota analysis of Crohn disease patients. </w:t>
      </w:r>
      <w:r>
        <w:rPr>
          <w:i/>
          <w:iCs/>
        </w:rPr>
        <w:t>Proc Natl Acad Sci U S A</w:t>
      </w:r>
      <w:r>
        <w:t>. 2008;105(43):16731-16736. doi:10.1073/pnas.0804812105</w:t>
      </w:r>
    </w:p>
    <w:p w14:paraId="4230C7F9" w14:textId="77777777" w:rsidR="00531974" w:rsidRDefault="00531974" w:rsidP="00531974">
      <w:pPr>
        <w:pStyle w:val="Bibliografi"/>
      </w:pPr>
      <w:r>
        <w:t xml:space="preserve">38. </w:t>
      </w:r>
      <w:r>
        <w:tab/>
        <w:t xml:space="preserve">Arpaia N, Campbell C, Fan X, et al. Metabolites produced by commensal bacteria promote peripheral regulatory T-cell generation. </w:t>
      </w:r>
      <w:r>
        <w:rPr>
          <w:i/>
          <w:iCs/>
        </w:rPr>
        <w:t>Nature</w:t>
      </w:r>
      <w:r>
        <w:t>. 2013;504(7480):451-455. doi:10.1038/nature12726</w:t>
      </w:r>
    </w:p>
    <w:p w14:paraId="6474608A" w14:textId="77777777" w:rsidR="00531974" w:rsidRDefault="00531974" w:rsidP="00531974">
      <w:pPr>
        <w:pStyle w:val="Bibliografi"/>
      </w:pPr>
      <w:r>
        <w:t xml:space="preserve">39. </w:t>
      </w:r>
      <w:r>
        <w:tab/>
        <w:t xml:space="preserve">Furusawa Y, Obata Y, Fukuda S, et al. Commensal microbe-derived butyrate induces the differentiation of colonic regulatory T cells. </w:t>
      </w:r>
      <w:r>
        <w:rPr>
          <w:i/>
          <w:iCs/>
        </w:rPr>
        <w:t>Nature</w:t>
      </w:r>
      <w:r>
        <w:t>. 2013;504(7480):446-450. doi:10.1038/nature12721</w:t>
      </w:r>
    </w:p>
    <w:p w14:paraId="5FA87A1A" w14:textId="77777777" w:rsidR="00531974" w:rsidRDefault="00531974" w:rsidP="00531974">
      <w:pPr>
        <w:pStyle w:val="Bibliografi"/>
      </w:pPr>
      <w:r>
        <w:t xml:space="preserve">40. </w:t>
      </w:r>
      <w:r>
        <w:tab/>
        <w:t xml:space="preserve">Smith PM, Howitt MR, Panikov N, et al. The Microbial Metabolites, Short-Chain Fatty Acids, Regulate Colonic Treg Cell Homeostasis. </w:t>
      </w:r>
      <w:r>
        <w:rPr>
          <w:i/>
          <w:iCs/>
        </w:rPr>
        <w:t>Science</w:t>
      </w:r>
      <w:r>
        <w:t>. 2013;341(6145):569-573. doi:10.1126/science.1241165</w:t>
      </w:r>
    </w:p>
    <w:p w14:paraId="5D612DD5" w14:textId="77777777" w:rsidR="00531974" w:rsidRDefault="00531974" w:rsidP="00531974">
      <w:pPr>
        <w:pStyle w:val="Bibliografi"/>
      </w:pPr>
      <w:r>
        <w:t xml:space="preserve">41. </w:t>
      </w:r>
      <w:r>
        <w:tab/>
        <w:t xml:space="preserve">Sonnenburg ED, Sonnenburg JL. Starving our Microbial Self: The Deleterious Consequences of a Diet Deficient in Microbiota-Accessible Carbohydrates. </w:t>
      </w:r>
      <w:r>
        <w:rPr>
          <w:i/>
          <w:iCs/>
        </w:rPr>
        <w:t>Cell Metab</w:t>
      </w:r>
      <w:r>
        <w:t>. 2014;20(5):779-786. doi:10.1016/j.cmet.2014.07.003</w:t>
      </w:r>
    </w:p>
    <w:p w14:paraId="74281DEA" w14:textId="77777777" w:rsidR="00531974" w:rsidRDefault="00531974" w:rsidP="00531974">
      <w:pPr>
        <w:pStyle w:val="Bibliografi"/>
      </w:pPr>
      <w:r>
        <w:t xml:space="preserve">42. </w:t>
      </w:r>
      <w:r>
        <w:tab/>
        <w:t xml:space="preserve">Frank DN, St. Amand AL, Feldman RA, Boedeker EC, Harpaz N, Pace NR. Molecular-phylogenetic characterization of microbial community imbalances in human inflammatory bowel diseases. </w:t>
      </w:r>
      <w:r>
        <w:rPr>
          <w:i/>
          <w:iCs/>
        </w:rPr>
        <w:t>Proc Natl Acad Sci</w:t>
      </w:r>
      <w:r>
        <w:t>. 2007;104(34):13780-13785. doi:10.1073/pnas.0706625104</w:t>
      </w:r>
    </w:p>
    <w:p w14:paraId="42109C88" w14:textId="77777777" w:rsidR="00531974" w:rsidRDefault="00531974" w:rsidP="00531974">
      <w:pPr>
        <w:pStyle w:val="Bibliografi"/>
      </w:pPr>
      <w:r>
        <w:t xml:space="preserve">43. </w:t>
      </w:r>
      <w:r>
        <w:tab/>
        <w:t xml:space="preserve">Morgan XC, Tickle TL, Sokol H, et al. Dysfunction of the intestinal microbiome in inflammatory bowel disease and treatment. </w:t>
      </w:r>
      <w:r>
        <w:rPr>
          <w:i/>
          <w:iCs/>
        </w:rPr>
        <w:t>Genome Biol</w:t>
      </w:r>
      <w:r>
        <w:t>. 2012;13(9):R79. doi:10.1186/gb-2012-13-9-r79</w:t>
      </w:r>
    </w:p>
    <w:p w14:paraId="1251F76F" w14:textId="77777777" w:rsidR="00531974" w:rsidRDefault="00531974" w:rsidP="00531974">
      <w:pPr>
        <w:pStyle w:val="Bibliografi"/>
      </w:pPr>
      <w:r>
        <w:t xml:space="preserve">44. </w:t>
      </w:r>
      <w:r>
        <w:tab/>
        <w:t xml:space="preserve">Ott SJ. Reduction in diversity of the colonic mucosa associated bacterial microflora in patients with active inflammatory bowel disease. </w:t>
      </w:r>
      <w:r>
        <w:rPr>
          <w:i/>
          <w:iCs/>
        </w:rPr>
        <w:t>Gut</w:t>
      </w:r>
      <w:r>
        <w:t>. 2004;53(5):685-693. doi:10.1136/gut.2003.025403</w:t>
      </w:r>
    </w:p>
    <w:p w14:paraId="6D8E119F" w14:textId="77777777" w:rsidR="00531974" w:rsidRDefault="00531974" w:rsidP="00531974">
      <w:pPr>
        <w:pStyle w:val="Bibliografi"/>
      </w:pPr>
      <w:r>
        <w:t xml:space="preserve">45. </w:t>
      </w:r>
      <w:r>
        <w:tab/>
        <w:t xml:space="preserve">Li J, Butcher J, Mack D, Stintzi A. Functional Impacts of the Intestinal Microbiome in the Pathogenesis of Inflammatory Bowel Disease: </w:t>
      </w:r>
      <w:r>
        <w:rPr>
          <w:i/>
          <w:iCs/>
        </w:rPr>
        <w:t>Inflamm Bowel Dis</w:t>
      </w:r>
      <w:r>
        <w:t>. 2015;21(1):139-153. doi:10.1097/MIB.0000000000000215</w:t>
      </w:r>
    </w:p>
    <w:p w14:paraId="7E46F8B8" w14:textId="77777777" w:rsidR="00531974" w:rsidRDefault="00531974" w:rsidP="00531974">
      <w:pPr>
        <w:pStyle w:val="Bibliografi"/>
      </w:pPr>
      <w:r>
        <w:t xml:space="preserve">46. </w:t>
      </w:r>
      <w:r>
        <w:tab/>
        <w:t xml:space="preserve">Martinez-Medina M, Aldeguer X, Gonzalez-Huix F, Acero D, Garcia-Gil LJ. Abnormal microbiota composition in the ileocolonic mucosa of Crohn’s disease patients as revealed by polymerase chain reaction-denaturing gradient gel electrophoresis. </w:t>
      </w:r>
      <w:r>
        <w:rPr>
          <w:i/>
          <w:iCs/>
        </w:rPr>
        <w:t>Inflamm Bowel Dis</w:t>
      </w:r>
      <w:r>
        <w:t>. 2006;12(12):1136-1145. doi:10.1097/01.mib.0000235828.09305.0c</w:t>
      </w:r>
    </w:p>
    <w:p w14:paraId="03C0A3B5" w14:textId="77777777" w:rsidR="00531974" w:rsidRDefault="00531974" w:rsidP="00531974">
      <w:pPr>
        <w:pStyle w:val="Bibliografi"/>
      </w:pPr>
      <w:r>
        <w:lastRenderedPageBreak/>
        <w:t xml:space="preserve">47. </w:t>
      </w:r>
      <w:r>
        <w:tab/>
        <w:t xml:space="preserve">Rutgeerts P, Peeters M, Hiele M, et al. Effect of faecal stream diversion on recurrence of Crohn’s disease in the neoterminal ileum. </w:t>
      </w:r>
      <w:r>
        <w:rPr>
          <w:i/>
          <w:iCs/>
        </w:rPr>
        <w:t>The Lancet</w:t>
      </w:r>
      <w:r>
        <w:t>. 1991;338(8770):771-774. doi:10.1016/0140-6736(91)90663-A</w:t>
      </w:r>
    </w:p>
    <w:p w14:paraId="105509C9" w14:textId="77777777" w:rsidR="00531974" w:rsidRDefault="00531974" w:rsidP="00531974">
      <w:pPr>
        <w:pStyle w:val="Bibliografi"/>
      </w:pPr>
      <w:r>
        <w:t xml:space="preserve">48. </w:t>
      </w:r>
      <w:r>
        <w:tab/>
        <w:t xml:space="preserve">Villanacci V, Falchetti D, Liserre B, et al. Diversion of the Fecal Stream Resolves Ulcerative Colitis Complicating Chronic Granulomatous Disease in an Adult Patient. </w:t>
      </w:r>
      <w:r>
        <w:rPr>
          <w:i/>
          <w:iCs/>
        </w:rPr>
        <w:t>J Clin Gastroenterol</w:t>
      </w:r>
      <w:r>
        <w:t>. 2007;41(5):491-493. doi:10.1097/01.mcg.0000212638.44735.78</w:t>
      </w:r>
    </w:p>
    <w:p w14:paraId="29650BE2" w14:textId="77777777" w:rsidR="00531974" w:rsidRDefault="00531974" w:rsidP="00531974">
      <w:pPr>
        <w:pStyle w:val="Bibliografi"/>
      </w:pPr>
      <w:r>
        <w:t xml:space="preserve">49. </w:t>
      </w:r>
      <w:r>
        <w:tab/>
        <w:t xml:space="preserve">Fujimoto T, Imaeda H, Takahashi K, et al. Decreased abundance of Faecalibacterium prausnitzii in the gut microbiota of Crohn’s disease. </w:t>
      </w:r>
      <w:r>
        <w:rPr>
          <w:i/>
          <w:iCs/>
        </w:rPr>
        <w:t>J Gastroenterol Hepatol</w:t>
      </w:r>
      <w:r>
        <w:t>. 2013;28(4):613-619. doi:10.1111/jgh.12073</w:t>
      </w:r>
    </w:p>
    <w:p w14:paraId="2485A8DB" w14:textId="77777777" w:rsidR="00531974" w:rsidRDefault="00531974" w:rsidP="00531974">
      <w:pPr>
        <w:pStyle w:val="Bibliografi"/>
      </w:pPr>
      <w:r>
        <w:t xml:space="preserve">50. </w:t>
      </w:r>
      <w:r>
        <w:tab/>
        <w:t xml:space="preserve">Seksik P, Rigottier-Gois L, Gramet G, et al. Alterations of the dominant faecal bacterial groups in patients with Crohn’s disease of the colon. </w:t>
      </w:r>
      <w:r>
        <w:rPr>
          <w:i/>
          <w:iCs/>
        </w:rPr>
        <w:t>Gut</w:t>
      </w:r>
      <w:r>
        <w:t>. 2003;52(2):237-242. doi:10.1136/gut.52.2.237</w:t>
      </w:r>
    </w:p>
    <w:p w14:paraId="36ABA589" w14:textId="77777777" w:rsidR="00531974" w:rsidRDefault="00531974" w:rsidP="00531974">
      <w:pPr>
        <w:pStyle w:val="Bibliografi"/>
      </w:pPr>
      <w:r>
        <w:t xml:space="preserve">51. </w:t>
      </w:r>
      <w:r>
        <w:tab/>
        <w:t xml:space="preserve">Manichanh C, Rigottier-Gois L, Bonnaud E, et al. Reduced diversity of faecal microbiota in Crohn’s disease revealed by a metagenomic approach. </w:t>
      </w:r>
      <w:r>
        <w:rPr>
          <w:i/>
          <w:iCs/>
        </w:rPr>
        <w:t>Gut</w:t>
      </w:r>
      <w:r>
        <w:t>. 2006;55(2):205-211. doi:10.1136/gut.2005.073817</w:t>
      </w:r>
    </w:p>
    <w:p w14:paraId="71FA59A6" w14:textId="77777777" w:rsidR="00531974" w:rsidRDefault="00531974" w:rsidP="00531974">
      <w:pPr>
        <w:pStyle w:val="Bibliografi"/>
      </w:pPr>
      <w:r>
        <w:t xml:space="preserve">52. </w:t>
      </w:r>
      <w:r>
        <w:tab/>
        <w:t xml:space="preserve">Braun T, Di Segni A, BenShoshan M, et al. Individualized Dynamics in the Gut Microbiota Precede Crohn’s Disease Flares. </w:t>
      </w:r>
      <w:r>
        <w:rPr>
          <w:i/>
          <w:iCs/>
        </w:rPr>
        <w:t>Am J Gastroenterol</w:t>
      </w:r>
      <w:r>
        <w:t>. 2019;114(7):1142-1151. doi:10.14309/ajg.0000000000000136</w:t>
      </w:r>
    </w:p>
    <w:p w14:paraId="2C4E3030" w14:textId="77777777" w:rsidR="00531974" w:rsidRDefault="00531974" w:rsidP="00531974">
      <w:pPr>
        <w:pStyle w:val="Bibliografi"/>
      </w:pPr>
      <w:r>
        <w:t xml:space="preserve">53. </w:t>
      </w:r>
      <w:r>
        <w:tab/>
        <w:t xml:space="preserve">O’Brien CL, Kiely CJ, Pavli P. The microbiome of Crohn’s disease aphthous ulcers. </w:t>
      </w:r>
      <w:r>
        <w:rPr>
          <w:i/>
          <w:iCs/>
        </w:rPr>
        <w:t>Gut Pathog</w:t>
      </w:r>
      <w:r>
        <w:t>. 2018;10(1):44. doi:10.1186/s13099-018-0265-6</w:t>
      </w:r>
    </w:p>
    <w:p w14:paraId="4E9B7714" w14:textId="77777777" w:rsidR="00531974" w:rsidRDefault="00531974" w:rsidP="00531974">
      <w:pPr>
        <w:pStyle w:val="Bibliografi"/>
      </w:pPr>
      <w:r>
        <w:t xml:space="preserve">54. </w:t>
      </w:r>
      <w:r>
        <w:tab/>
        <w:t xml:space="preserve">Lewis JD, Chen EZ, Baldassano RN, et al. Inflammation, Antibiotics, and Diet as Environmental Stressors of the Gut Microbiome in Pediatric Crohn’s Disease. </w:t>
      </w:r>
      <w:r>
        <w:rPr>
          <w:i/>
          <w:iCs/>
        </w:rPr>
        <w:t>Cell Host Microbe</w:t>
      </w:r>
      <w:r>
        <w:t>. 2015;18(4):489-500. doi:10.1016/j.chom.2015.09.008</w:t>
      </w:r>
    </w:p>
    <w:p w14:paraId="3D342BB5" w14:textId="77777777" w:rsidR="00531974" w:rsidRDefault="00531974" w:rsidP="00531974">
      <w:pPr>
        <w:pStyle w:val="Bibliografi"/>
      </w:pPr>
      <w:r>
        <w:t xml:space="preserve">55. </w:t>
      </w:r>
      <w:r>
        <w:tab/>
        <w:t xml:space="preserve">Cohen AB, Lee D, Long MD, et al. Dietary Patterns and Self-Reported Associations of Diet with Symptoms of Inflammatory Bowel Disease. </w:t>
      </w:r>
      <w:r>
        <w:rPr>
          <w:i/>
          <w:iCs/>
        </w:rPr>
        <w:t>Dig Dis Sci</w:t>
      </w:r>
      <w:r>
        <w:t>. 2013;58(5):1322-1328. doi:10.1007/s10620-012-2373-3</w:t>
      </w:r>
    </w:p>
    <w:p w14:paraId="157D98BF" w14:textId="77777777" w:rsidR="00531974" w:rsidRDefault="00531974" w:rsidP="00531974">
      <w:pPr>
        <w:pStyle w:val="Bibliografi"/>
      </w:pPr>
      <w:r>
        <w:t xml:space="preserve">56. </w:t>
      </w:r>
      <w:r>
        <w:tab/>
        <w:t xml:space="preserve">Limdi JK, Aggarwal D, McLaughlin JT. Dietary Practices and Beliefs in Patients with Inflammatory Bowel Disease: </w:t>
      </w:r>
      <w:r>
        <w:rPr>
          <w:i/>
          <w:iCs/>
        </w:rPr>
        <w:t>Inflamm Bowel Dis</w:t>
      </w:r>
      <w:r>
        <w:t>. 2016;22(1):164-170. doi:10.1097/MIB.0000000000000585</w:t>
      </w:r>
    </w:p>
    <w:p w14:paraId="0E5990A3" w14:textId="77777777" w:rsidR="00531974" w:rsidRDefault="00531974" w:rsidP="00531974">
      <w:pPr>
        <w:pStyle w:val="Bibliografi"/>
      </w:pPr>
      <w:r>
        <w:t xml:space="preserve">57. </w:t>
      </w:r>
      <w:r>
        <w:tab/>
        <w:t xml:space="preserve">Peters V, Tigchelaar-Feenstra EF, Imhann F, et al. Habitual dietary intake of IBD patients differs from population controls: a case–control study. </w:t>
      </w:r>
      <w:r>
        <w:rPr>
          <w:i/>
          <w:iCs/>
        </w:rPr>
        <w:t>Eur J Nutr</w:t>
      </w:r>
      <w:r>
        <w:t>. 2021;60(1):345-356. doi:10.1007/s00394-020-02250-z</w:t>
      </w:r>
    </w:p>
    <w:p w14:paraId="1D0E6800" w14:textId="77777777" w:rsidR="00531974" w:rsidRDefault="00531974" w:rsidP="00531974">
      <w:pPr>
        <w:pStyle w:val="Bibliografi"/>
      </w:pPr>
      <w:r>
        <w:t xml:space="preserve">58. </w:t>
      </w:r>
      <w:r>
        <w:tab/>
        <w:t xml:space="preserve">Forbes A, Escher J, Hébuterne X, et al. ESPEN guideline: Clinical nutrition in inflammatory bowel disease. </w:t>
      </w:r>
      <w:r>
        <w:rPr>
          <w:i/>
          <w:iCs/>
        </w:rPr>
        <w:t>Clin Nutr</w:t>
      </w:r>
      <w:r>
        <w:t>. 2017;36(2):321-347. doi:10.1016/j.clnu.2016.12.027</w:t>
      </w:r>
    </w:p>
    <w:p w14:paraId="4CB896F9" w14:textId="77777777" w:rsidR="00531974" w:rsidRDefault="00531974" w:rsidP="00531974">
      <w:pPr>
        <w:pStyle w:val="Bibliografi"/>
      </w:pPr>
      <w:r>
        <w:lastRenderedPageBreak/>
        <w:t xml:space="preserve">59. </w:t>
      </w:r>
      <w:r>
        <w:tab/>
        <w:t xml:space="preserve">Bouhnik Y, Flourié B, D’Agay-Abensour L, et al. Administration of Transgalacto-Oligosaccharides Increases Fecal Bifidobacteria and Modifies Colonic Fermentation Metabolism in Healthy Humans. </w:t>
      </w:r>
      <w:r>
        <w:rPr>
          <w:i/>
          <w:iCs/>
        </w:rPr>
        <w:t>J Nutr</w:t>
      </w:r>
      <w:r>
        <w:t>. 1997;127(3):444-448. doi:10.1093/jn/127.3.444</w:t>
      </w:r>
    </w:p>
    <w:p w14:paraId="6084B987" w14:textId="77777777" w:rsidR="00531974" w:rsidRDefault="00531974" w:rsidP="00531974">
      <w:pPr>
        <w:pStyle w:val="Bibliografi"/>
      </w:pPr>
      <w:r>
        <w:t xml:space="preserve">60. </w:t>
      </w:r>
      <w:r>
        <w:tab/>
        <w:t xml:space="preserve">Mariadason JM, Barkla DH, Gibson PR. Effect of short-chain fatty acids on paracellular permeability in Caco-2 intestinal epithelium model. </w:t>
      </w:r>
      <w:r>
        <w:rPr>
          <w:i/>
          <w:iCs/>
        </w:rPr>
        <w:t>Am J Physiol-Gastrointest Liver Physiol</w:t>
      </w:r>
      <w:r>
        <w:t>. 1997;272(4):G705-G712. doi:10.1152/ajpgi.1997.272.4.G705</w:t>
      </w:r>
    </w:p>
    <w:p w14:paraId="5ECE5F89" w14:textId="77777777" w:rsidR="00531974" w:rsidRDefault="00531974" w:rsidP="00531974">
      <w:pPr>
        <w:pStyle w:val="Bibliografi"/>
      </w:pPr>
      <w:r>
        <w:t xml:space="preserve">61. </w:t>
      </w:r>
      <w:r>
        <w:tab/>
        <w:t xml:space="preserve">Elamin EE, Masclee AA, Dekker J, Pieters HJ, Jonkers DM. Short-Chain Fatty Acids Activate AMP-Activated Protein Kinase and Ameliorate Ethanol-Induced Intestinal Barrier Dysfunction in Caco-2 Cell Monolayers. </w:t>
      </w:r>
      <w:r>
        <w:rPr>
          <w:i/>
          <w:iCs/>
        </w:rPr>
        <w:t>J Nutr</w:t>
      </w:r>
      <w:r>
        <w:t>. 2013;143(12):1872-1881. doi:10.3945/jn.113.179549</w:t>
      </w:r>
    </w:p>
    <w:p w14:paraId="2E33EF66" w14:textId="77777777" w:rsidR="00531974" w:rsidRDefault="00531974" w:rsidP="00531974">
      <w:pPr>
        <w:pStyle w:val="Bibliografi"/>
      </w:pPr>
      <w:r>
        <w:t xml:space="preserve">62. </w:t>
      </w:r>
      <w:r>
        <w:tab/>
        <w:t xml:space="preserve">A. Venkatraman, B. S. Ramakrishna,. Increased Permeability in Dextran Sulphate Colitis in Rats: Time Course of Development and Effect of Butyrate. </w:t>
      </w:r>
      <w:r>
        <w:rPr>
          <w:i/>
          <w:iCs/>
        </w:rPr>
        <w:t>Scand J Gastroenterol</w:t>
      </w:r>
      <w:r>
        <w:t>. 2000;35(10):1053-1059. doi:10.1080/003655200451171</w:t>
      </w:r>
    </w:p>
    <w:p w14:paraId="1973F3B9" w14:textId="77777777" w:rsidR="00531974" w:rsidRDefault="00531974" w:rsidP="00531974">
      <w:pPr>
        <w:pStyle w:val="Bibliografi"/>
      </w:pPr>
      <w:r>
        <w:t xml:space="preserve">63. </w:t>
      </w:r>
      <w:r>
        <w:tab/>
        <w:t xml:space="preserve">Tabat MW, Marques TM, Markgren M, Löfvendahl L, Brummer RJ, Wall R. Acute Effects of Butyrate on Induced Hyperpermeability and Tight Junction Protein Expression in Human Colonic Tissues. </w:t>
      </w:r>
      <w:r>
        <w:rPr>
          <w:i/>
          <w:iCs/>
        </w:rPr>
        <w:t>Biomolecules</w:t>
      </w:r>
      <w:r>
        <w:t>. 2020;10(5):766. doi:10.3390/biom10050766</w:t>
      </w:r>
    </w:p>
    <w:p w14:paraId="1059C79E" w14:textId="77777777" w:rsidR="00531974" w:rsidRDefault="00531974" w:rsidP="00531974">
      <w:pPr>
        <w:pStyle w:val="Bibliografi"/>
      </w:pPr>
      <w:r>
        <w:t xml:space="preserve">64. </w:t>
      </w:r>
      <w:r>
        <w:tab/>
        <w:t xml:space="preserve">Ganda Mall JP, Casado-Bedmar M, Winberg ME, Brummer RJ, Schoultz I, Keita ÅV. A β-Glucan-Based Dietary Fiber Reduces Mast Cell-Induced Hyperpermeability in Ileum From Patients With Crohn’s Disease and Control Subjects. </w:t>
      </w:r>
      <w:r>
        <w:rPr>
          <w:i/>
          <w:iCs/>
        </w:rPr>
        <w:t>Inflamm Bowel Dis</w:t>
      </w:r>
      <w:r>
        <w:t>. 2018;24(1):166-178. doi:10.1093/ibd/izx002</w:t>
      </w:r>
    </w:p>
    <w:p w14:paraId="5F4BAFD8" w14:textId="77777777" w:rsidR="00531974" w:rsidRDefault="00531974" w:rsidP="00531974">
      <w:pPr>
        <w:pStyle w:val="Bibliografi"/>
      </w:pPr>
      <w:r>
        <w:t xml:space="preserve">65. </w:t>
      </w:r>
      <w:r>
        <w:tab/>
        <w:t xml:space="preserve">Żyła, Dziendzikowska, Gajewska, Wilczak, Harasym, Gromadzka-Ostrowska. Beneficial Effects of Oat Beta-Glucan Dietary Supplementation in Colitis Depend on its Molecular Weight. </w:t>
      </w:r>
      <w:r>
        <w:rPr>
          <w:i/>
          <w:iCs/>
        </w:rPr>
        <w:t>Molecules</w:t>
      </w:r>
      <w:r>
        <w:t>. 2019;24(19):3591. doi:10.3390/molecules24193591</w:t>
      </w:r>
    </w:p>
    <w:p w14:paraId="75A5DB31" w14:textId="77777777" w:rsidR="00531974" w:rsidRDefault="00531974" w:rsidP="00531974">
      <w:pPr>
        <w:pStyle w:val="Bibliografi"/>
      </w:pPr>
      <w:r>
        <w:t xml:space="preserve">66. </w:t>
      </w:r>
      <w:r>
        <w:tab/>
        <w:t xml:space="preserve">Heinsbroek SEM, Williams DL, Welting O, Meijer SL, Gordon S, de Jonge WJ. Orally delivered β-glucans aggravate dextran sulfate sodium (DSS)-induced intestinal inflammation. </w:t>
      </w:r>
      <w:r>
        <w:rPr>
          <w:i/>
          <w:iCs/>
        </w:rPr>
        <w:t>Nutr Res</w:t>
      </w:r>
      <w:r>
        <w:t>. 2015;35(12):1106-1112. doi:10.1016/j.nutres.2015.09.017</w:t>
      </w:r>
    </w:p>
    <w:p w14:paraId="76D6CBF3" w14:textId="77777777" w:rsidR="00531974" w:rsidRDefault="00531974" w:rsidP="00531974">
      <w:pPr>
        <w:pStyle w:val="Bibliografi"/>
      </w:pPr>
      <w:r>
        <w:t xml:space="preserve">67. </w:t>
      </w:r>
      <w:r>
        <w:tab/>
        <w:t xml:space="preserve">Levine A, Rhodes JM, Lindsay JO, et al. Dietary Guidance From the International Organization for the Study of Inflammatory Bowel Diseases. </w:t>
      </w:r>
      <w:r>
        <w:rPr>
          <w:i/>
          <w:iCs/>
        </w:rPr>
        <w:t>Clin Gastroenterol Hepatol</w:t>
      </w:r>
      <w:r>
        <w:t>. 2020;18(6):1381-1392. doi:10.1016/j.cgh.2020.01.046</w:t>
      </w:r>
    </w:p>
    <w:p w14:paraId="295B31E0" w14:textId="77777777" w:rsidR="00531974" w:rsidRDefault="00531974" w:rsidP="00531974">
      <w:pPr>
        <w:pStyle w:val="Bibliografi"/>
      </w:pPr>
      <w:r>
        <w:t xml:space="preserve">68. </w:t>
      </w:r>
      <w:r>
        <w:tab/>
        <w:t xml:space="preserve">Benjamin JL, Hedin CRH, Koutsoumpas A, et al. Randomised, double-blind, placebo-controlled trial of fructo-oligosaccharides in active Crohn’s disease. </w:t>
      </w:r>
      <w:r>
        <w:rPr>
          <w:i/>
          <w:iCs/>
        </w:rPr>
        <w:t>Gut</w:t>
      </w:r>
      <w:r>
        <w:t>. 2011;60(7):923-929. doi:10.1136/gut.2010.232025</w:t>
      </w:r>
    </w:p>
    <w:p w14:paraId="2A9516F3" w14:textId="77777777" w:rsidR="00531974" w:rsidRDefault="00531974" w:rsidP="00531974">
      <w:pPr>
        <w:pStyle w:val="Bibliografi"/>
      </w:pPr>
      <w:r>
        <w:t xml:space="preserve">69. </w:t>
      </w:r>
      <w:r>
        <w:tab/>
        <w:t xml:space="preserve">Heaton KW, Thornton JR, Emmett PM. Treatment of Crohn’s disease with an unrefined-carbohydrate, fibre-rich diet. </w:t>
      </w:r>
      <w:r>
        <w:rPr>
          <w:i/>
          <w:iCs/>
        </w:rPr>
        <w:t>BMJ</w:t>
      </w:r>
      <w:r>
        <w:t>. 1979;2(6193):764-766. doi:10.1136/bmj.2.6193.764</w:t>
      </w:r>
    </w:p>
    <w:p w14:paraId="349E2113" w14:textId="77777777" w:rsidR="00531974" w:rsidRDefault="00531974" w:rsidP="00531974">
      <w:pPr>
        <w:pStyle w:val="Bibliografi"/>
      </w:pPr>
      <w:r>
        <w:lastRenderedPageBreak/>
        <w:t xml:space="preserve">70. </w:t>
      </w:r>
      <w:r>
        <w:tab/>
        <w:t xml:space="preserve">Ritchie JK, Wadsworth J, Lennard-Jones JE, Rogers E. Controlled multicentre therapeutic trial of an unrefined carbohydrate, fibre rich diet in Crohn’s disease. </w:t>
      </w:r>
      <w:r>
        <w:rPr>
          <w:i/>
          <w:iCs/>
        </w:rPr>
        <w:t>BMJ</w:t>
      </w:r>
      <w:r>
        <w:t>. 1987;295(6597):517-520. doi:10.1136/bmj.295.6597.517</w:t>
      </w:r>
    </w:p>
    <w:p w14:paraId="3167A39B" w14:textId="77777777" w:rsidR="00531974" w:rsidRDefault="00531974" w:rsidP="00531974">
      <w:pPr>
        <w:pStyle w:val="Bibliografi"/>
      </w:pPr>
      <w:r>
        <w:t xml:space="preserve">71. </w:t>
      </w:r>
      <w:r>
        <w:tab/>
        <w:t xml:space="preserve">Sigall-Boneh R, Levine A, Lomer M, et al. Research Gaps in Diet and Nutrition in Inflammatory Bowel Disease. A Topical Review by D-ECCO Working Group [Dietitians of ECCO]. </w:t>
      </w:r>
      <w:r>
        <w:rPr>
          <w:i/>
          <w:iCs/>
        </w:rPr>
        <w:t>J Crohns Colitis</w:t>
      </w:r>
      <w:r>
        <w:t>. 2017;11(12):1407-1419. doi:10.1093/ecco-jcc/jjx109</w:t>
      </w:r>
    </w:p>
    <w:p w14:paraId="6FFC32A5" w14:textId="77777777" w:rsidR="00531974" w:rsidRDefault="00531974" w:rsidP="00531974">
      <w:pPr>
        <w:pStyle w:val="Bibliografi"/>
      </w:pPr>
      <w:r>
        <w:t xml:space="preserve">72. </w:t>
      </w:r>
      <w:r>
        <w:tab/>
        <w:t xml:space="preserve">Buchanan E, Gaunt WW, Cardigan T, Garrick V, Mcgrogan P, Russell RK. The use of exclusive enteral nutrition for induction of remission in children with Crohn’s disease demonstrates that disease phenotype does not influence clinical remission. </w:t>
      </w:r>
      <w:r>
        <w:rPr>
          <w:i/>
          <w:iCs/>
        </w:rPr>
        <w:t>Aliment Pharmacol Ther</w:t>
      </w:r>
      <w:r>
        <w:t>. 2009;30(5):501-507. doi:10.1111/j.1365-2036.2009.04067.x</w:t>
      </w:r>
    </w:p>
    <w:p w14:paraId="392FCCC4" w14:textId="77777777" w:rsidR="00531974" w:rsidRDefault="00531974" w:rsidP="00531974">
      <w:pPr>
        <w:pStyle w:val="Bibliografi"/>
      </w:pPr>
      <w:r>
        <w:t xml:space="preserve">73. </w:t>
      </w:r>
      <w:r>
        <w:tab/>
        <w:t xml:space="preserve">Dziechciarz P, Horvath A, Shamir R, Szajewska H. Meta-analysis: enteral nutrition in active Crohn’s disease in children: META-ANALYSIS: ENTERAL NUTRITION IN CROHN’S DISEASE IN CHILDREN. </w:t>
      </w:r>
      <w:r>
        <w:rPr>
          <w:i/>
          <w:iCs/>
        </w:rPr>
        <w:t>Aliment Pharmacol Ther</w:t>
      </w:r>
      <w:r>
        <w:t>. 2007;26(6):795-806. doi:10.1111/j.1365-2036.2007.03431.x</w:t>
      </w:r>
    </w:p>
    <w:p w14:paraId="79CF5989" w14:textId="77777777" w:rsidR="00531974" w:rsidRDefault="00531974" w:rsidP="00531974">
      <w:pPr>
        <w:pStyle w:val="Bibliografi"/>
      </w:pPr>
      <w:r>
        <w:t xml:space="preserve">74. </w:t>
      </w:r>
      <w:r>
        <w:tab/>
        <w:t xml:space="preserve">Ruemmele FM, Veres G, Kolho KL, et al. Consensus guidelines of ECCO/ESPGHAN on the medical management of pediatric Crohn’s disease. </w:t>
      </w:r>
      <w:r>
        <w:rPr>
          <w:i/>
          <w:iCs/>
        </w:rPr>
        <w:t>J Crohns Colitis</w:t>
      </w:r>
      <w:r>
        <w:t>. 2014;8(10):1179-1207. doi:10.1016/j.crohns.2014.04.005</w:t>
      </w:r>
    </w:p>
    <w:p w14:paraId="22AAD0E9" w14:textId="77777777" w:rsidR="00531974" w:rsidRDefault="00531974" w:rsidP="00531974">
      <w:pPr>
        <w:pStyle w:val="Bibliografi"/>
      </w:pPr>
      <w:r>
        <w:t xml:space="preserve">75. </w:t>
      </w:r>
      <w:r>
        <w:tab/>
        <w:t xml:space="preserve">Ashton JJ, Gavin J, Beattie RM. Exclusive enteral nutrition in Crohn’s disease: Evidence and practicalities. </w:t>
      </w:r>
      <w:r>
        <w:rPr>
          <w:i/>
          <w:iCs/>
        </w:rPr>
        <w:t>Clin Nutr</w:t>
      </w:r>
      <w:r>
        <w:t>. 2019;38(1):80-89. doi:10.1016/j.clnu.2018.01.020</w:t>
      </w:r>
    </w:p>
    <w:p w14:paraId="0E1D431B" w14:textId="77777777" w:rsidR="00531974" w:rsidRDefault="00531974" w:rsidP="00531974">
      <w:pPr>
        <w:pStyle w:val="Bibliografi"/>
      </w:pPr>
      <w:r>
        <w:t xml:space="preserve">76. </w:t>
      </w:r>
      <w:r>
        <w:tab/>
        <w:t xml:space="preserve">Wall CL. Use of exclusive enteral nutrition in adults with Crohn’s disease: A review. </w:t>
      </w:r>
      <w:r>
        <w:rPr>
          <w:i/>
          <w:iCs/>
        </w:rPr>
        <w:t>World J Gastroenterol</w:t>
      </w:r>
      <w:r>
        <w:t>. 2013;19(43):7652. doi:10.3748/wjg.v19.i43.7652</w:t>
      </w:r>
    </w:p>
    <w:p w14:paraId="13A408BA" w14:textId="77777777" w:rsidR="00531974" w:rsidRDefault="00531974" w:rsidP="00531974">
      <w:pPr>
        <w:pStyle w:val="Bibliografi"/>
      </w:pPr>
      <w:r>
        <w:t xml:space="preserve">77. </w:t>
      </w:r>
      <w:r>
        <w:tab/>
        <w:t xml:space="preserve">Dignass A, Van Assche G, Lindsay JO, et al. The second European evidence-based Consensus on the diagnosis and management of Crohn’s disease: Current management. </w:t>
      </w:r>
      <w:r>
        <w:rPr>
          <w:i/>
          <w:iCs/>
        </w:rPr>
        <w:t>J Crohns Colitis</w:t>
      </w:r>
      <w:r>
        <w:t>. 2010;4(1):28-62. doi:10.1016/j.crohns.2009.12.002</w:t>
      </w:r>
    </w:p>
    <w:p w14:paraId="16EF779A" w14:textId="77777777" w:rsidR="00531974" w:rsidRDefault="00531974" w:rsidP="00531974">
      <w:pPr>
        <w:pStyle w:val="Bibliografi"/>
      </w:pPr>
      <w:r>
        <w:t xml:space="preserve">78. </w:t>
      </w:r>
      <w:r>
        <w:tab/>
        <w:t xml:space="preserve">Lichtenstein GR, Hanauer SB, Sandborn WJ. Management of Crohn’s Disease in Adults. </w:t>
      </w:r>
      <w:r>
        <w:rPr>
          <w:i/>
          <w:iCs/>
        </w:rPr>
        <w:t>Am J Gastroenterol</w:t>
      </w:r>
      <w:r>
        <w:t>. 2009;104(2):465-483. doi:10.1038/ajg.2008.168</w:t>
      </w:r>
    </w:p>
    <w:p w14:paraId="7BCC12FA" w14:textId="77777777" w:rsidR="00531974" w:rsidRDefault="00531974" w:rsidP="00531974">
      <w:pPr>
        <w:pStyle w:val="Bibliografi"/>
      </w:pPr>
      <w:r>
        <w:t xml:space="preserve">79. </w:t>
      </w:r>
      <w:r>
        <w:tab/>
        <w:t xml:space="preserve">Sigall-Boneh R, Pfeffer-Gik T, Segal I, Zangen T, Boaz M, Levine A. Partial Enteral Nutrition with a Crohnʼs Disease Exclusion Diet Is Effective for Induction of Remission in Children and Young Adults with Crohnʼs Disease: </w:t>
      </w:r>
      <w:r>
        <w:rPr>
          <w:i/>
          <w:iCs/>
        </w:rPr>
        <w:t>Inflamm Bowel Dis</w:t>
      </w:r>
      <w:r>
        <w:t>. 2014;20(8):1353-1360. doi:10.1097/MIB.0000000000000110</w:t>
      </w:r>
    </w:p>
    <w:p w14:paraId="5F00FE53" w14:textId="77777777" w:rsidR="00531974" w:rsidRDefault="00531974" w:rsidP="00531974">
      <w:pPr>
        <w:pStyle w:val="Bibliografi"/>
      </w:pPr>
      <w:r>
        <w:t xml:space="preserve">80. </w:t>
      </w:r>
      <w:r>
        <w:tab/>
        <w:t xml:space="preserve">Svolos V, Hansen R, Nichols B, et al. Treatment of Active Crohn’s Disease With an Ordinary Food-based Diet That Replicates Exclusive Enteral Nutrition. </w:t>
      </w:r>
      <w:r>
        <w:rPr>
          <w:i/>
          <w:iCs/>
        </w:rPr>
        <w:t>Gastroenterology</w:t>
      </w:r>
      <w:r>
        <w:t>. 2019;156(5):1354-1367.e6. doi:10.1053/j.gastro.2018.12.002</w:t>
      </w:r>
    </w:p>
    <w:p w14:paraId="01FA7116" w14:textId="0AF5C465" w:rsidR="00E834B6" w:rsidRDefault="00E834B6" w:rsidP="00704D76">
      <w:pPr>
        <w:spacing w:line="360" w:lineRule="auto"/>
        <w:jc w:val="both"/>
      </w:pPr>
      <w:r w:rsidRPr="00DE0962">
        <w:rPr>
          <w:sz w:val="24"/>
          <w:szCs w:val="24"/>
        </w:rPr>
        <w:fldChar w:fldCharType="end"/>
      </w:r>
    </w:p>
    <w:sectPr w:rsidR="00E834B6" w:rsidSect="00562EDC">
      <w:footerReference w:type="default" r:id="rId14"/>
      <w:pgSz w:w="11906" w:h="16838"/>
      <w:pgMar w:top="2268" w:right="1418" w:bottom="2268"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EE3F" w14:textId="77777777" w:rsidR="00F84D09" w:rsidRDefault="00F84D09" w:rsidP="002F25B9">
      <w:pPr>
        <w:spacing w:after="0" w:line="240" w:lineRule="auto"/>
      </w:pPr>
      <w:r>
        <w:separator/>
      </w:r>
    </w:p>
  </w:endnote>
  <w:endnote w:type="continuationSeparator" w:id="0">
    <w:p w14:paraId="3303A93A" w14:textId="77777777" w:rsidR="00F84D09" w:rsidRDefault="00F84D09" w:rsidP="002F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41241"/>
      <w:docPartObj>
        <w:docPartGallery w:val="Page Numbers (Bottom of Page)"/>
        <w:docPartUnique/>
      </w:docPartObj>
    </w:sdtPr>
    <w:sdtEndPr/>
    <w:sdtContent>
      <w:p w14:paraId="56A7BABA" w14:textId="2C3DA054" w:rsidR="00C03AA5" w:rsidRDefault="00C03AA5">
        <w:pPr>
          <w:pStyle w:val="Bunntekst"/>
          <w:jc w:val="right"/>
        </w:pPr>
        <w:r>
          <w:fldChar w:fldCharType="begin"/>
        </w:r>
        <w:r>
          <w:instrText>PAGE   \* MERGEFORMAT</w:instrText>
        </w:r>
        <w:r>
          <w:fldChar w:fldCharType="separate"/>
        </w:r>
        <w:r>
          <w:rPr>
            <w:lang w:val="nb-NO"/>
          </w:rPr>
          <w:t>2</w:t>
        </w:r>
        <w:r>
          <w:fldChar w:fldCharType="end"/>
        </w:r>
      </w:p>
    </w:sdtContent>
  </w:sdt>
  <w:p w14:paraId="464C1BFE" w14:textId="39178720" w:rsidR="00C03AA5" w:rsidRDefault="00C03A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7249" w14:textId="77777777" w:rsidR="00F84D09" w:rsidRDefault="00F84D09" w:rsidP="002F25B9">
      <w:pPr>
        <w:spacing w:after="0" w:line="240" w:lineRule="auto"/>
      </w:pPr>
      <w:r>
        <w:separator/>
      </w:r>
    </w:p>
  </w:footnote>
  <w:footnote w:type="continuationSeparator" w:id="0">
    <w:p w14:paraId="0296DE57" w14:textId="77777777" w:rsidR="00F84D09" w:rsidRDefault="00F84D09" w:rsidP="002F2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7437"/>
    <w:multiLevelType w:val="multilevel"/>
    <w:tmpl w:val="71A68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2E2EEB"/>
    <w:multiLevelType w:val="hybridMultilevel"/>
    <w:tmpl w:val="7026C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0E4045"/>
    <w:multiLevelType w:val="hybridMultilevel"/>
    <w:tmpl w:val="A6660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67"/>
    <w:rsid w:val="00001760"/>
    <w:rsid w:val="000017B1"/>
    <w:rsid w:val="000104BB"/>
    <w:rsid w:val="0001290C"/>
    <w:rsid w:val="00012AB8"/>
    <w:rsid w:val="00030870"/>
    <w:rsid w:val="000409E1"/>
    <w:rsid w:val="00044BAD"/>
    <w:rsid w:val="00050EE4"/>
    <w:rsid w:val="00052FB1"/>
    <w:rsid w:val="00056C96"/>
    <w:rsid w:val="00071107"/>
    <w:rsid w:val="00074E62"/>
    <w:rsid w:val="000753D1"/>
    <w:rsid w:val="0008028E"/>
    <w:rsid w:val="0008288A"/>
    <w:rsid w:val="000907F1"/>
    <w:rsid w:val="000943D0"/>
    <w:rsid w:val="0009585A"/>
    <w:rsid w:val="000A0CED"/>
    <w:rsid w:val="000F6DBF"/>
    <w:rsid w:val="000F7700"/>
    <w:rsid w:val="000F7A69"/>
    <w:rsid w:val="001109B9"/>
    <w:rsid w:val="001128A3"/>
    <w:rsid w:val="0011777D"/>
    <w:rsid w:val="00123544"/>
    <w:rsid w:val="001327C4"/>
    <w:rsid w:val="0015225B"/>
    <w:rsid w:val="0015274F"/>
    <w:rsid w:val="00153E34"/>
    <w:rsid w:val="00153FDD"/>
    <w:rsid w:val="001613F6"/>
    <w:rsid w:val="00163408"/>
    <w:rsid w:val="0016444E"/>
    <w:rsid w:val="00166EDA"/>
    <w:rsid w:val="00172B9D"/>
    <w:rsid w:val="00174923"/>
    <w:rsid w:val="001819E9"/>
    <w:rsid w:val="001830EE"/>
    <w:rsid w:val="001839A6"/>
    <w:rsid w:val="00183C5A"/>
    <w:rsid w:val="001877B6"/>
    <w:rsid w:val="00190899"/>
    <w:rsid w:val="00190986"/>
    <w:rsid w:val="00191E0A"/>
    <w:rsid w:val="00194439"/>
    <w:rsid w:val="0019544E"/>
    <w:rsid w:val="00195A69"/>
    <w:rsid w:val="00197F1C"/>
    <w:rsid w:val="001A10A3"/>
    <w:rsid w:val="001A66AC"/>
    <w:rsid w:val="001B3557"/>
    <w:rsid w:val="001C0A27"/>
    <w:rsid w:val="001C2452"/>
    <w:rsid w:val="001D0762"/>
    <w:rsid w:val="001E0455"/>
    <w:rsid w:val="001E0A78"/>
    <w:rsid w:val="001E1996"/>
    <w:rsid w:val="001E2615"/>
    <w:rsid w:val="001E5203"/>
    <w:rsid w:val="00213070"/>
    <w:rsid w:val="002210C8"/>
    <w:rsid w:val="00226982"/>
    <w:rsid w:val="00230086"/>
    <w:rsid w:val="0023634E"/>
    <w:rsid w:val="002375C1"/>
    <w:rsid w:val="002420E4"/>
    <w:rsid w:val="0024316E"/>
    <w:rsid w:val="00254147"/>
    <w:rsid w:val="00254CB2"/>
    <w:rsid w:val="00260307"/>
    <w:rsid w:val="00261CFF"/>
    <w:rsid w:val="0026666E"/>
    <w:rsid w:val="00274339"/>
    <w:rsid w:val="0027637D"/>
    <w:rsid w:val="00277176"/>
    <w:rsid w:val="002805DB"/>
    <w:rsid w:val="002844DE"/>
    <w:rsid w:val="00284563"/>
    <w:rsid w:val="0028466E"/>
    <w:rsid w:val="002B3827"/>
    <w:rsid w:val="002C38F0"/>
    <w:rsid w:val="002C6D1C"/>
    <w:rsid w:val="002C736B"/>
    <w:rsid w:val="002D3A15"/>
    <w:rsid w:val="002D5FDB"/>
    <w:rsid w:val="002E2867"/>
    <w:rsid w:val="002E588B"/>
    <w:rsid w:val="002F080D"/>
    <w:rsid w:val="002F25B9"/>
    <w:rsid w:val="002F2796"/>
    <w:rsid w:val="002F788E"/>
    <w:rsid w:val="00303FDC"/>
    <w:rsid w:val="00305AE9"/>
    <w:rsid w:val="003122B9"/>
    <w:rsid w:val="00325304"/>
    <w:rsid w:val="0032608F"/>
    <w:rsid w:val="003262EB"/>
    <w:rsid w:val="0033138D"/>
    <w:rsid w:val="003361BB"/>
    <w:rsid w:val="00344F67"/>
    <w:rsid w:val="00361598"/>
    <w:rsid w:val="00363567"/>
    <w:rsid w:val="00363A04"/>
    <w:rsid w:val="00365093"/>
    <w:rsid w:val="003679A3"/>
    <w:rsid w:val="00391080"/>
    <w:rsid w:val="003A407D"/>
    <w:rsid w:val="003B0B0E"/>
    <w:rsid w:val="003B192C"/>
    <w:rsid w:val="003B1CAB"/>
    <w:rsid w:val="003B23B7"/>
    <w:rsid w:val="003B43D3"/>
    <w:rsid w:val="003B4975"/>
    <w:rsid w:val="003B6AA8"/>
    <w:rsid w:val="003D74C8"/>
    <w:rsid w:val="003E1EB3"/>
    <w:rsid w:val="003F08CA"/>
    <w:rsid w:val="003F0FFC"/>
    <w:rsid w:val="0040216F"/>
    <w:rsid w:val="00405195"/>
    <w:rsid w:val="00405436"/>
    <w:rsid w:val="00410961"/>
    <w:rsid w:val="0041532A"/>
    <w:rsid w:val="004243A7"/>
    <w:rsid w:val="004261B4"/>
    <w:rsid w:val="00446538"/>
    <w:rsid w:val="00460DB7"/>
    <w:rsid w:val="00467AD9"/>
    <w:rsid w:val="00470970"/>
    <w:rsid w:val="00470E79"/>
    <w:rsid w:val="0048410E"/>
    <w:rsid w:val="00494126"/>
    <w:rsid w:val="00497AEC"/>
    <w:rsid w:val="004A6FB0"/>
    <w:rsid w:val="004A7EF1"/>
    <w:rsid w:val="004B1B31"/>
    <w:rsid w:val="004B560D"/>
    <w:rsid w:val="004C31ED"/>
    <w:rsid w:val="004C552E"/>
    <w:rsid w:val="004C7FFE"/>
    <w:rsid w:val="004D3428"/>
    <w:rsid w:val="004D55E7"/>
    <w:rsid w:val="004D60FF"/>
    <w:rsid w:val="004E2147"/>
    <w:rsid w:val="004F3A30"/>
    <w:rsid w:val="004F55A2"/>
    <w:rsid w:val="005033A4"/>
    <w:rsid w:val="005106FB"/>
    <w:rsid w:val="00510A9D"/>
    <w:rsid w:val="00512146"/>
    <w:rsid w:val="0051493D"/>
    <w:rsid w:val="00523A0E"/>
    <w:rsid w:val="005272DE"/>
    <w:rsid w:val="00530D64"/>
    <w:rsid w:val="00531389"/>
    <w:rsid w:val="00531974"/>
    <w:rsid w:val="00531C67"/>
    <w:rsid w:val="0053326A"/>
    <w:rsid w:val="005372C8"/>
    <w:rsid w:val="00546CC4"/>
    <w:rsid w:val="00553253"/>
    <w:rsid w:val="00554191"/>
    <w:rsid w:val="00555151"/>
    <w:rsid w:val="00562EDC"/>
    <w:rsid w:val="0057762A"/>
    <w:rsid w:val="005B0E53"/>
    <w:rsid w:val="005B2FD7"/>
    <w:rsid w:val="005B7181"/>
    <w:rsid w:val="005C290B"/>
    <w:rsid w:val="005C6075"/>
    <w:rsid w:val="005D0E19"/>
    <w:rsid w:val="005E0E5E"/>
    <w:rsid w:val="005E651A"/>
    <w:rsid w:val="00607ACE"/>
    <w:rsid w:val="00612E1A"/>
    <w:rsid w:val="00621397"/>
    <w:rsid w:val="00621942"/>
    <w:rsid w:val="006224FE"/>
    <w:rsid w:val="00622CC5"/>
    <w:rsid w:val="00622EF3"/>
    <w:rsid w:val="00625918"/>
    <w:rsid w:val="00627BC2"/>
    <w:rsid w:val="006334CB"/>
    <w:rsid w:val="0063532F"/>
    <w:rsid w:val="006419D4"/>
    <w:rsid w:val="00645CF3"/>
    <w:rsid w:val="00652A52"/>
    <w:rsid w:val="00653ABC"/>
    <w:rsid w:val="006544B6"/>
    <w:rsid w:val="00661071"/>
    <w:rsid w:val="0066122A"/>
    <w:rsid w:val="00674BF3"/>
    <w:rsid w:val="00683E9F"/>
    <w:rsid w:val="006A001E"/>
    <w:rsid w:val="006A30D4"/>
    <w:rsid w:val="006A5B75"/>
    <w:rsid w:val="006A759A"/>
    <w:rsid w:val="006B3444"/>
    <w:rsid w:val="006B76B9"/>
    <w:rsid w:val="006C2123"/>
    <w:rsid w:val="006C351C"/>
    <w:rsid w:val="006C49D2"/>
    <w:rsid w:val="006C5F36"/>
    <w:rsid w:val="006C6F95"/>
    <w:rsid w:val="006D25DB"/>
    <w:rsid w:val="006D3717"/>
    <w:rsid w:val="006D50BD"/>
    <w:rsid w:val="006D58CE"/>
    <w:rsid w:val="006F6740"/>
    <w:rsid w:val="007044A9"/>
    <w:rsid w:val="00704D76"/>
    <w:rsid w:val="007137B2"/>
    <w:rsid w:val="00723930"/>
    <w:rsid w:val="00730297"/>
    <w:rsid w:val="007348D8"/>
    <w:rsid w:val="00736834"/>
    <w:rsid w:val="007404BF"/>
    <w:rsid w:val="00743C02"/>
    <w:rsid w:val="00747D57"/>
    <w:rsid w:val="00747FC7"/>
    <w:rsid w:val="00754E44"/>
    <w:rsid w:val="00765BF1"/>
    <w:rsid w:val="00777160"/>
    <w:rsid w:val="00781365"/>
    <w:rsid w:val="00783CC1"/>
    <w:rsid w:val="007874FB"/>
    <w:rsid w:val="00791019"/>
    <w:rsid w:val="007910C3"/>
    <w:rsid w:val="00792EAB"/>
    <w:rsid w:val="0079451F"/>
    <w:rsid w:val="007A26C1"/>
    <w:rsid w:val="007A534C"/>
    <w:rsid w:val="007B3835"/>
    <w:rsid w:val="007B4257"/>
    <w:rsid w:val="007B6302"/>
    <w:rsid w:val="007C5DD2"/>
    <w:rsid w:val="007C6572"/>
    <w:rsid w:val="007C6999"/>
    <w:rsid w:val="007C730F"/>
    <w:rsid w:val="007D1675"/>
    <w:rsid w:val="007D4042"/>
    <w:rsid w:val="007D4995"/>
    <w:rsid w:val="007D4C50"/>
    <w:rsid w:val="007E0719"/>
    <w:rsid w:val="007F21C3"/>
    <w:rsid w:val="007F435B"/>
    <w:rsid w:val="007F5602"/>
    <w:rsid w:val="00800548"/>
    <w:rsid w:val="00806F11"/>
    <w:rsid w:val="00811819"/>
    <w:rsid w:val="00814726"/>
    <w:rsid w:val="00821763"/>
    <w:rsid w:val="00827D68"/>
    <w:rsid w:val="00836B7F"/>
    <w:rsid w:val="008409ED"/>
    <w:rsid w:val="00841157"/>
    <w:rsid w:val="00851188"/>
    <w:rsid w:val="00861E2D"/>
    <w:rsid w:val="00865E8B"/>
    <w:rsid w:val="0086664F"/>
    <w:rsid w:val="00866A30"/>
    <w:rsid w:val="0087398B"/>
    <w:rsid w:val="00873C02"/>
    <w:rsid w:val="00876ABB"/>
    <w:rsid w:val="0089021E"/>
    <w:rsid w:val="00894FAF"/>
    <w:rsid w:val="00896856"/>
    <w:rsid w:val="00896A97"/>
    <w:rsid w:val="008A2414"/>
    <w:rsid w:val="008A3A07"/>
    <w:rsid w:val="008A49B9"/>
    <w:rsid w:val="008C5922"/>
    <w:rsid w:val="008C5D6F"/>
    <w:rsid w:val="008E0021"/>
    <w:rsid w:val="008E0E9D"/>
    <w:rsid w:val="008E483D"/>
    <w:rsid w:val="008E5595"/>
    <w:rsid w:val="008E7267"/>
    <w:rsid w:val="008F07A8"/>
    <w:rsid w:val="008F4280"/>
    <w:rsid w:val="008F7993"/>
    <w:rsid w:val="008F7AC0"/>
    <w:rsid w:val="008F7FE4"/>
    <w:rsid w:val="00912F93"/>
    <w:rsid w:val="00932A3F"/>
    <w:rsid w:val="00935BD9"/>
    <w:rsid w:val="00937AB4"/>
    <w:rsid w:val="00941CF6"/>
    <w:rsid w:val="00946A23"/>
    <w:rsid w:val="0095653B"/>
    <w:rsid w:val="00956FC8"/>
    <w:rsid w:val="00960E13"/>
    <w:rsid w:val="00962F24"/>
    <w:rsid w:val="00980C1E"/>
    <w:rsid w:val="00980C4F"/>
    <w:rsid w:val="009826C9"/>
    <w:rsid w:val="00984259"/>
    <w:rsid w:val="00984664"/>
    <w:rsid w:val="00990D69"/>
    <w:rsid w:val="00995022"/>
    <w:rsid w:val="009A12C2"/>
    <w:rsid w:val="009A1C76"/>
    <w:rsid w:val="009A2DF5"/>
    <w:rsid w:val="009C3D1B"/>
    <w:rsid w:val="009D6F22"/>
    <w:rsid w:val="009E170D"/>
    <w:rsid w:val="009E17E7"/>
    <w:rsid w:val="009E31A6"/>
    <w:rsid w:val="009F7987"/>
    <w:rsid w:val="00A015C7"/>
    <w:rsid w:val="00A02682"/>
    <w:rsid w:val="00A1256F"/>
    <w:rsid w:val="00A15368"/>
    <w:rsid w:val="00A20F26"/>
    <w:rsid w:val="00A34EA0"/>
    <w:rsid w:val="00A4557D"/>
    <w:rsid w:val="00A54E75"/>
    <w:rsid w:val="00A60DD9"/>
    <w:rsid w:val="00A62310"/>
    <w:rsid w:val="00A9712B"/>
    <w:rsid w:val="00AA477C"/>
    <w:rsid w:val="00AA656D"/>
    <w:rsid w:val="00AB061D"/>
    <w:rsid w:val="00AB5EF3"/>
    <w:rsid w:val="00AB6D33"/>
    <w:rsid w:val="00AC3F43"/>
    <w:rsid w:val="00AC4F49"/>
    <w:rsid w:val="00AD07CC"/>
    <w:rsid w:val="00AD3120"/>
    <w:rsid w:val="00AE0465"/>
    <w:rsid w:val="00AF6CED"/>
    <w:rsid w:val="00B000B8"/>
    <w:rsid w:val="00B00A33"/>
    <w:rsid w:val="00B026C9"/>
    <w:rsid w:val="00B03FAF"/>
    <w:rsid w:val="00B04297"/>
    <w:rsid w:val="00B04B7E"/>
    <w:rsid w:val="00B074D3"/>
    <w:rsid w:val="00B1109E"/>
    <w:rsid w:val="00B11D2E"/>
    <w:rsid w:val="00B13508"/>
    <w:rsid w:val="00B1664B"/>
    <w:rsid w:val="00B2328F"/>
    <w:rsid w:val="00B31F30"/>
    <w:rsid w:val="00B37DB1"/>
    <w:rsid w:val="00B4159A"/>
    <w:rsid w:val="00B576BA"/>
    <w:rsid w:val="00B6026A"/>
    <w:rsid w:val="00B61FF7"/>
    <w:rsid w:val="00B72AEF"/>
    <w:rsid w:val="00B73477"/>
    <w:rsid w:val="00B738D9"/>
    <w:rsid w:val="00B74D04"/>
    <w:rsid w:val="00B90571"/>
    <w:rsid w:val="00B93D21"/>
    <w:rsid w:val="00BA0864"/>
    <w:rsid w:val="00BA33F8"/>
    <w:rsid w:val="00BA7518"/>
    <w:rsid w:val="00BB1D88"/>
    <w:rsid w:val="00BC1210"/>
    <w:rsid w:val="00BC4352"/>
    <w:rsid w:val="00BD1994"/>
    <w:rsid w:val="00BD4DC0"/>
    <w:rsid w:val="00BD5497"/>
    <w:rsid w:val="00BE11A0"/>
    <w:rsid w:val="00BE40B0"/>
    <w:rsid w:val="00BE5920"/>
    <w:rsid w:val="00BE5F0B"/>
    <w:rsid w:val="00BF1074"/>
    <w:rsid w:val="00BF78D7"/>
    <w:rsid w:val="00C0353E"/>
    <w:rsid w:val="00C03AA5"/>
    <w:rsid w:val="00C03EA3"/>
    <w:rsid w:val="00C114B7"/>
    <w:rsid w:val="00C13203"/>
    <w:rsid w:val="00C146A4"/>
    <w:rsid w:val="00C14B96"/>
    <w:rsid w:val="00C2195A"/>
    <w:rsid w:val="00C25862"/>
    <w:rsid w:val="00C272E0"/>
    <w:rsid w:val="00C44A40"/>
    <w:rsid w:val="00C4646E"/>
    <w:rsid w:val="00C5014B"/>
    <w:rsid w:val="00C50810"/>
    <w:rsid w:val="00C5139F"/>
    <w:rsid w:val="00C5266F"/>
    <w:rsid w:val="00C63BD6"/>
    <w:rsid w:val="00C63E49"/>
    <w:rsid w:val="00C65A6F"/>
    <w:rsid w:val="00C731A2"/>
    <w:rsid w:val="00C77310"/>
    <w:rsid w:val="00C779D7"/>
    <w:rsid w:val="00C854C8"/>
    <w:rsid w:val="00C867E1"/>
    <w:rsid w:val="00C9234E"/>
    <w:rsid w:val="00C9255C"/>
    <w:rsid w:val="00C940C9"/>
    <w:rsid w:val="00C95C95"/>
    <w:rsid w:val="00C969E9"/>
    <w:rsid w:val="00C96B3C"/>
    <w:rsid w:val="00CA4AE7"/>
    <w:rsid w:val="00CE56CB"/>
    <w:rsid w:val="00CF37F0"/>
    <w:rsid w:val="00CF532F"/>
    <w:rsid w:val="00D10380"/>
    <w:rsid w:val="00D13A89"/>
    <w:rsid w:val="00D17179"/>
    <w:rsid w:val="00D23012"/>
    <w:rsid w:val="00D23912"/>
    <w:rsid w:val="00D30C8E"/>
    <w:rsid w:val="00D31372"/>
    <w:rsid w:val="00D33538"/>
    <w:rsid w:val="00D342DE"/>
    <w:rsid w:val="00D34920"/>
    <w:rsid w:val="00D41955"/>
    <w:rsid w:val="00D442DD"/>
    <w:rsid w:val="00D4492A"/>
    <w:rsid w:val="00D52849"/>
    <w:rsid w:val="00D60634"/>
    <w:rsid w:val="00D63195"/>
    <w:rsid w:val="00D84703"/>
    <w:rsid w:val="00D9608D"/>
    <w:rsid w:val="00DA7C25"/>
    <w:rsid w:val="00DB3F1C"/>
    <w:rsid w:val="00DC1952"/>
    <w:rsid w:val="00DC2AED"/>
    <w:rsid w:val="00DC43C4"/>
    <w:rsid w:val="00DC5E4F"/>
    <w:rsid w:val="00DC6CCB"/>
    <w:rsid w:val="00DD294B"/>
    <w:rsid w:val="00DD30C0"/>
    <w:rsid w:val="00DD4FD3"/>
    <w:rsid w:val="00DE0962"/>
    <w:rsid w:val="00DE504D"/>
    <w:rsid w:val="00DE5996"/>
    <w:rsid w:val="00DE61D2"/>
    <w:rsid w:val="00DF05A2"/>
    <w:rsid w:val="00DF1042"/>
    <w:rsid w:val="00DF3043"/>
    <w:rsid w:val="00E049BE"/>
    <w:rsid w:val="00E10179"/>
    <w:rsid w:val="00E11939"/>
    <w:rsid w:val="00E1196B"/>
    <w:rsid w:val="00E151CB"/>
    <w:rsid w:val="00E20CB5"/>
    <w:rsid w:val="00E23D64"/>
    <w:rsid w:val="00E255F0"/>
    <w:rsid w:val="00E311C8"/>
    <w:rsid w:val="00E32BE1"/>
    <w:rsid w:val="00E36FA6"/>
    <w:rsid w:val="00E44610"/>
    <w:rsid w:val="00E46F2B"/>
    <w:rsid w:val="00E5204D"/>
    <w:rsid w:val="00E526C9"/>
    <w:rsid w:val="00E609B0"/>
    <w:rsid w:val="00E611D8"/>
    <w:rsid w:val="00E706A9"/>
    <w:rsid w:val="00E72320"/>
    <w:rsid w:val="00E7798D"/>
    <w:rsid w:val="00E83035"/>
    <w:rsid w:val="00E834B6"/>
    <w:rsid w:val="00E9185A"/>
    <w:rsid w:val="00E969CF"/>
    <w:rsid w:val="00E971FD"/>
    <w:rsid w:val="00E97AD2"/>
    <w:rsid w:val="00EA0152"/>
    <w:rsid w:val="00EB3BF1"/>
    <w:rsid w:val="00EB3D50"/>
    <w:rsid w:val="00EC1D70"/>
    <w:rsid w:val="00EC6065"/>
    <w:rsid w:val="00EC63C6"/>
    <w:rsid w:val="00EC7A3E"/>
    <w:rsid w:val="00EC7FC7"/>
    <w:rsid w:val="00ED5963"/>
    <w:rsid w:val="00EE0C27"/>
    <w:rsid w:val="00EE299B"/>
    <w:rsid w:val="00EE2B88"/>
    <w:rsid w:val="00EE3FE1"/>
    <w:rsid w:val="00EF66F3"/>
    <w:rsid w:val="00F01844"/>
    <w:rsid w:val="00F05D3B"/>
    <w:rsid w:val="00F068EF"/>
    <w:rsid w:val="00F06F5D"/>
    <w:rsid w:val="00F10B65"/>
    <w:rsid w:val="00F14A71"/>
    <w:rsid w:val="00F15BF7"/>
    <w:rsid w:val="00F16170"/>
    <w:rsid w:val="00F229CE"/>
    <w:rsid w:val="00F230E5"/>
    <w:rsid w:val="00F23B47"/>
    <w:rsid w:val="00F31B7C"/>
    <w:rsid w:val="00F376C2"/>
    <w:rsid w:val="00F432FC"/>
    <w:rsid w:val="00F44E09"/>
    <w:rsid w:val="00F50A86"/>
    <w:rsid w:val="00F50EF0"/>
    <w:rsid w:val="00F57E1D"/>
    <w:rsid w:val="00F6034A"/>
    <w:rsid w:val="00F674D3"/>
    <w:rsid w:val="00F713EB"/>
    <w:rsid w:val="00F750CA"/>
    <w:rsid w:val="00F75711"/>
    <w:rsid w:val="00F7574F"/>
    <w:rsid w:val="00F76710"/>
    <w:rsid w:val="00F77809"/>
    <w:rsid w:val="00F83375"/>
    <w:rsid w:val="00F84A33"/>
    <w:rsid w:val="00F84D09"/>
    <w:rsid w:val="00F86CDC"/>
    <w:rsid w:val="00F90BF8"/>
    <w:rsid w:val="00F947C0"/>
    <w:rsid w:val="00F9584F"/>
    <w:rsid w:val="00FA010E"/>
    <w:rsid w:val="00FA011F"/>
    <w:rsid w:val="00FA04C8"/>
    <w:rsid w:val="00FB2BDC"/>
    <w:rsid w:val="00FB6502"/>
    <w:rsid w:val="00FC1A1C"/>
    <w:rsid w:val="00FC5F61"/>
    <w:rsid w:val="00FD6B50"/>
    <w:rsid w:val="00FE043B"/>
    <w:rsid w:val="00FE7C9E"/>
    <w:rsid w:val="00FE7E2C"/>
    <w:rsid w:val="00FF017E"/>
    <w:rsid w:val="00FF0D7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4A020"/>
  <w15:chartTrackingRefBased/>
  <w15:docId w15:val="{AF6EB650-D8D4-4FB2-8A9C-86D32346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B9"/>
  </w:style>
  <w:style w:type="paragraph" w:styleId="Overskrift1">
    <w:name w:val="heading 1"/>
    <w:basedOn w:val="Normal"/>
    <w:next w:val="Normal"/>
    <w:link w:val="Overskrift1Tegn"/>
    <w:uiPriority w:val="9"/>
    <w:qFormat/>
    <w:rsid w:val="00110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qFormat/>
    <w:rsid w:val="00F23B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F23B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109B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1109B9"/>
    <w:pPr>
      <w:ind w:left="720"/>
      <w:contextualSpacing/>
    </w:pPr>
  </w:style>
  <w:style w:type="paragraph" w:styleId="Tittel">
    <w:name w:val="Title"/>
    <w:basedOn w:val="Normal"/>
    <w:next w:val="Normal"/>
    <w:link w:val="TittelTegn"/>
    <w:uiPriority w:val="10"/>
    <w:qFormat/>
    <w:rsid w:val="00F23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3B47"/>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F23B47"/>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F23B4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777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kobling">
    <w:name w:val="Hyperlink"/>
    <w:basedOn w:val="Standardskriftforavsnitt"/>
    <w:uiPriority w:val="99"/>
    <w:unhideWhenUsed/>
    <w:rsid w:val="00777160"/>
    <w:rPr>
      <w:color w:val="0563C1" w:themeColor="hyperlink"/>
      <w:u w:val="single"/>
    </w:rPr>
  </w:style>
  <w:style w:type="character" w:styleId="Ulstomtale">
    <w:name w:val="Unresolved Mention"/>
    <w:basedOn w:val="Standardskriftforavsnitt"/>
    <w:uiPriority w:val="99"/>
    <w:semiHidden/>
    <w:unhideWhenUsed/>
    <w:rsid w:val="00777160"/>
    <w:rPr>
      <w:color w:val="605E5C"/>
      <w:shd w:val="clear" w:color="auto" w:fill="E1DFDD"/>
    </w:rPr>
  </w:style>
  <w:style w:type="paragraph" w:styleId="Sluttnotetekst">
    <w:name w:val="endnote text"/>
    <w:basedOn w:val="Normal"/>
    <w:link w:val="SluttnotetekstTegn"/>
    <w:uiPriority w:val="99"/>
    <w:semiHidden/>
    <w:unhideWhenUsed/>
    <w:rsid w:val="002F25B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2F25B9"/>
    <w:rPr>
      <w:sz w:val="20"/>
      <w:szCs w:val="20"/>
    </w:rPr>
  </w:style>
  <w:style w:type="character" w:styleId="Sluttnotereferanse">
    <w:name w:val="endnote reference"/>
    <w:basedOn w:val="Standardskriftforavsnitt"/>
    <w:uiPriority w:val="99"/>
    <w:semiHidden/>
    <w:unhideWhenUsed/>
    <w:rsid w:val="002F25B9"/>
    <w:rPr>
      <w:vertAlign w:val="superscript"/>
    </w:rPr>
  </w:style>
  <w:style w:type="paragraph" w:styleId="Bibliografi">
    <w:name w:val="Bibliography"/>
    <w:basedOn w:val="Normal"/>
    <w:next w:val="Normal"/>
    <w:uiPriority w:val="37"/>
    <w:unhideWhenUsed/>
    <w:rsid w:val="002F25B9"/>
  </w:style>
  <w:style w:type="paragraph" w:styleId="Ingenmellomrom">
    <w:name w:val="No Spacing"/>
    <w:link w:val="IngenmellomromTegn"/>
    <w:uiPriority w:val="1"/>
    <w:qFormat/>
    <w:rsid w:val="00344F67"/>
    <w:pPr>
      <w:spacing w:after="0" w:line="240" w:lineRule="auto"/>
    </w:pPr>
  </w:style>
  <w:style w:type="character" w:customStyle="1" w:styleId="IngenmellomromTegn">
    <w:name w:val="Ingen mellomrom Tegn"/>
    <w:basedOn w:val="Standardskriftforavsnitt"/>
    <w:link w:val="Ingenmellomrom"/>
    <w:uiPriority w:val="1"/>
    <w:rsid w:val="00B04297"/>
  </w:style>
  <w:style w:type="paragraph" w:styleId="Undertittel">
    <w:name w:val="Subtitle"/>
    <w:basedOn w:val="Normal"/>
    <w:next w:val="Normal"/>
    <w:link w:val="UndertittelTegn"/>
    <w:uiPriority w:val="11"/>
    <w:qFormat/>
    <w:rsid w:val="006C6F95"/>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6C6F95"/>
    <w:rPr>
      <w:rFonts w:eastAsiaTheme="minorEastAsia"/>
      <w:color w:val="5A5A5A" w:themeColor="text1" w:themeTint="A5"/>
      <w:spacing w:val="15"/>
    </w:rPr>
  </w:style>
  <w:style w:type="character" w:styleId="Utheving">
    <w:name w:val="Emphasis"/>
    <w:basedOn w:val="Standardskriftforavsnitt"/>
    <w:uiPriority w:val="20"/>
    <w:qFormat/>
    <w:rsid w:val="00EE3FE1"/>
    <w:rPr>
      <w:i/>
      <w:iCs/>
    </w:rPr>
  </w:style>
  <w:style w:type="paragraph" w:styleId="Bildetekst">
    <w:name w:val="caption"/>
    <w:basedOn w:val="Normal"/>
    <w:next w:val="Normal"/>
    <w:uiPriority w:val="35"/>
    <w:unhideWhenUsed/>
    <w:qFormat/>
    <w:rsid w:val="00743C02"/>
    <w:pPr>
      <w:spacing w:after="200" w:line="240" w:lineRule="auto"/>
    </w:pPr>
    <w:rPr>
      <w:i/>
      <w:iCs/>
      <w:color w:val="44546A" w:themeColor="text2"/>
      <w:sz w:val="18"/>
      <w:szCs w:val="18"/>
    </w:rPr>
  </w:style>
  <w:style w:type="paragraph" w:styleId="Overskriftforinnholdsfortegnelse">
    <w:name w:val="TOC Heading"/>
    <w:basedOn w:val="Overskrift1"/>
    <w:next w:val="Normal"/>
    <w:uiPriority w:val="39"/>
    <w:unhideWhenUsed/>
    <w:qFormat/>
    <w:rsid w:val="006D58CE"/>
    <w:pPr>
      <w:outlineLvl w:val="9"/>
    </w:pPr>
    <w:rPr>
      <w:lang w:eastAsia="en-GB"/>
    </w:rPr>
  </w:style>
  <w:style w:type="paragraph" w:styleId="INNH3">
    <w:name w:val="toc 3"/>
    <w:basedOn w:val="Normal"/>
    <w:next w:val="Normal"/>
    <w:autoRedefine/>
    <w:uiPriority w:val="39"/>
    <w:unhideWhenUsed/>
    <w:rsid w:val="006D58CE"/>
    <w:pPr>
      <w:spacing w:after="100"/>
      <w:ind w:left="440"/>
    </w:pPr>
  </w:style>
  <w:style w:type="paragraph" w:styleId="INNH4">
    <w:name w:val="toc 4"/>
    <w:basedOn w:val="Normal"/>
    <w:next w:val="Normal"/>
    <w:autoRedefine/>
    <w:uiPriority w:val="39"/>
    <w:unhideWhenUsed/>
    <w:rsid w:val="00531389"/>
    <w:pPr>
      <w:tabs>
        <w:tab w:val="left" w:pos="1320"/>
        <w:tab w:val="right" w:leader="dot" w:pos="9016"/>
      </w:tabs>
      <w:spacing w:after="100"/>
      <w:ind w:left="660"/>
    </w:pPr>
  </w:style>
  <w:style w:type="paragraph" w:styleId="INNH5">
    <w:name w:val="toc 5"/>
    <w:basedOn w:val="Normal"/>
    <w:next w:val="Normal"/>
    <w:autoRedefine/>
    <w:uiPriority w:val="39"/>
    <w:semiHidden/>
    <w:unhideWhenUsed/>
    <w:rsid w:val="006D58CE"/>
    <w:pPr>
      <w:spacing w:after="100"/>
      <w:ind w:left="880"/>
    </w:pPr>
  </w:style>
  <w:style w:type="character" w:styleId="Fulgthyperkobling">
    <w:name w:val="FollowedHyperlink"/>
    <w:basedOn w:val="Standardskriftforavsnitt"/>
    <w:uiPriority w:val="99"/>
    <w:semiHidden/>
    <w:unhideWhenUsed/>
    <w:rsid w:val="008E5595"/>
    <w:rPr>
      <w:color w:val="954F72" w:themeColor="followedHyperlink"/>
      <w:u w:val="single"/>
    </w:rPr>
  </w:style>
  <w:style w:type="paragraph" w:styleId="Topptekst">
    <w:name w:val="header"/>
    <w:basedOn w:val="Normal"/>
    <w:link w:val="TopptekstTegn"/>
    <w:uiPriority w:val="99"/>
    <w:unhideWhenUsed/>
    <w:rsid w:val="00C03AA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03AA5"/>
  </w:style>
  <w:style w:type="paragraph" w:styleId="Bunntekst">
    <w:name w:val="footer"/>
    <w:basedOn w:val="Normal"/>
    <w:link w:val="BunntekstTegn"/>
    <w:uiPriority w:val="99"/>
    <w:unhideWhenUsed/>
    <w:rsid w:val="00C03AA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0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83623">
      <w:bodyDiv w:val="1"/>
      <w:marLeft w:val="0"/>
      <w:marRight w:val="0"/>
      <w:marTop w:val="0"/>
      <w:marBottom w:val="0"/>
      <w:divBdr>
        <w:top w:val="none" w:sz="0" w:space="0" w:color="auto"/>
        <w:left w:val="none" w:sz="0" w:space="0" w:color="auto"/>
        <w:bottom w:val="none" w:sz="0" w:space="0" w:color="auto"/>
        <w:right w:val="none" w:sz="0" w:space="0" w:color="auto"/>
      </w:divBdr>
    </w:div>
    <w:div w:id="19036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43872B30C43E7947E192216A62589"/>
        <w:category>
          <w:name w:val="Generelt"/>
          <w:gallery w:val="placeholder"/>
        </w:category>
        <w:types>
          <w:type w:val="bbPlcHdr"/>
        </w:types>
        <w:behaviors>
          <w:behavior w:val="content"/>
        </w:behaviors>
        <w:guid w:val="{A9EB37C2-14D8-481C-83C4-9CAECDE1D1B9}"/>
      </w:docPartPr>
      <w:docPartBody>
        <w:p w:rsidR="00DD1345" w:rsidRDefault="00F9184E" w:rsidP="00F9184E">
          <w:pPr>
            <w:pStyle w:val="20243872B30C43E7947E192216A62589"/>
          </w:pPr>
          <w:r>
            <w:rPr>
              <w:rFonts w:asciiTheme="majorHAnsi" w:eastAsiaTheme="majorEastAsia" w:hAnsiTheme="majorHAnsi" w:cstheme="majorBidi"/>
              <w:caps/>
              <w:color w:val="4472C4" w:themeColor="accent1"/>
              <w:sz w:val="80"/>
              <w:szCs w:val="80"/>
              <w:lang w:val="nb-NO"/>
            </w:rPr>
            <w:t>[Dokumenttittel]</w:t>
          </w:r>
        </w:p>
      </w:docPartBody>
    </w:docPart>
    <w:docPart>
      <w:docPartPr>
        <w:name w:val="95FBD731E5684D5982815594BD69EB0B"/>
        <w:category>
          <w:name w:val="Generelt"/>
          <w:gallery w:val="placeholder"/>
        </w:category>
        <w:types>
          <w:type w:val="bbPlcHdr"/>
        </w:types>
        <w:behaviors>
          <w:behavior w:val="content"/>
        </w:behaviors>
        <w:guid w:val="{89C3A31D-3B38-4470-9ED2-9D3731C51695}"/>
      </w:docPartPr>
      <w:docPartBody>
        <w:p w:rsidR="00DD1345" w:rsidRDefault="00F9184E" w:rsidP="00F9184E">
          <w:pPr>
            <w:pStyle w:val="95FBD731E5684D5982815594BD69EB0B"/>
          </w:pPr>
          <w:r>
            <w:rPr>
              <w:color w:val="4472C4" w:themeColor="accent1"/>
              <w:sz w:val="28"/>
              <w:szCs w:val="28"/>
              <w:lang w:val="nb-NO"/>
            </w:rPr>
            <w:t>[Dokumentundertittel]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4E"/>
    <w:rsid w:val="00060205"/>
    <w:rsid w:val="00125814"/>
    <w:rsid w:val="00292F65"/>
    <w:rsid w:val="00397545"/>
    <w:rsid w:val="003C7744"/>
    <w:rsid w:val="0045299F"/>
    <w:rsid w:val="006F0675"/>
    <w:rsid w:val="00717926"/>
    <w:rsid w:val="00743CB3"/>
    <w:rsid w:val="00AA1D28"/>
    <w:rsid w:val="00AE7CF0"/>
    <w:rsid w:val="00AF1944"/>
    <w:rsid w:val="00C445FE"/>
    <w:rsid w:val="00CD7E30"/>
    <w:rsid w:val="00D03AC1"/>
    <w:rsid w:val="00D7594D"/>
    <w:rsid w:val="00DD1345"/>
    <w:rsid w:val="00E34903"/>
    <w:rsid w:val="00F9184E"/>
    <w:rsid w:val="00FF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0243872B30C43E7947E192216A62589">
    <w:name w:val="20243872B30C43E7947E192216A62589"/>
    <w:rsid w:val="00F9184E"/>
  </w:style>
  <w:style w:type="paragraph" w:customStyle="1" w:styleId="95FBD731E5684D5982815594BD69EB0B">
    <w:name w:val="95FBD731E5684D5982815594BD69EB0B"/>
    <w:rsid w:val="00F91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65C648-FCC3-4792-88B2-0E0F747645E8}">
  <we:reference id="wa104382081" version="1.21.0.0" store="en-001" storeType="OMEX"/>
  <we:alternateReferences>
    <we:reference id="wa104382081" version="1.21.0.0" store="wa10438208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C2D70E-DAEF-4B80-B7D6-027156E0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20114</TotalTime>
  <Pages>1</Pages>
  <Words>36819</Words>
  <Characters>209869</Characters>
  <Application>Microsoft Office Word</Application>
  <DocSecurity>0</DocSecurity>
  <Lines>1748</Lines>
  <Paragraphs>492</Paragraphs>
  <ScaleCrop>false</ScaleCrop>
  <HeadingPairs>
    <vt:vector size="2" baseType="variant">
      <vt:variant>
        <vt:lpstr>Tittel</vt:lpstr>
      </vt:variant>
      <vt:variant>
        <vt:i4>1</vt:i4>
      </vt:variant>
    </vt:vector>
  </HeadingPairs>
  <TitlesOfParts>
    <vt:vector size="1" baseType="lpstr">
      <vt:lpstr>diet in crohn disease – The effect of diet On the microbiome and its role as a therapeutic modality</vt:lpstr>
    </vt:vector>
  </TitlesOfParts>
  <Company/>
  <LinksUpToDate>false</LinksUpToDate>
  <CharactersWithSpaces>246196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in Crohn disease – The effect of diet on the microbiome and its role as a therapeutic modality</dc:title>
  <dc:subject>Thesis of Nikolas Jostein Metirtikas Johnsgaard</dc:subject>
  <dc:creator>Nikolas Jostein Metirtikas Johnsgaard, General medicine 2015</dc:creator>
  <cp:keywords/>
  <dc:description/>
  <cp:lastModifiedBy>Nikolas Johnsgaard</cp:lastModifiedBy>
  <cp:revision>390</cp:revision>
  <cp:lastPrinted>2022-01-18T14:23:00Z</cp:lastPrinted>
  <dcterms:created xsi:type="dcterms:W3CDTF">2021-02-09T08:32:00Z</dcterms:created>
  <dcterms:modified xsi:type="dcterms:W3CDTF">2022-01-18T14:24:00Z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id="BETvps8h"/&gt;&lt;style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 name="dontAskDelayCitationUpdates" value="true"/&gt;&lt;/prefs&gt;&lt;/data&gt;</vt:lpwstr>
  </property>
</Properties>
</file>